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id w:val="-229469798"/>
      </w:sdtPr>
      <w:sdtEndPr>
        <w:rPr>
          <w:rFonts w:cs="Times New Roman"/>
          <w:szCs w:val="24"/>
        </w:rPr>
      </w:sdtEndPr>
      <w:sdtContent>
        <w:p>
          <w:pPr>
            <w:ind w:firstLine="480"/>
          </w:pPr>
          <w:bookmarkStart w:id="7" w:name="_GoBack"/>
          <w:bookmarkEnd w:id="7"/>
        </w:p>
        <w:p>
          <w:pPr>
            <w:widowControl/>
            <w:ind w:firstLine="1040"/>
            <w:jc w:val="center"/>
            <w:rPr>
              <w:rFonts w:cs="Times New Roman"/>
              <w:sz w:val="52"/>
              <w:szCs w:val="52"/>
            </w:rPr>
          </w:pPr>
        </w:p>
        <w:p>
          <w:pPr>
            <w:widowControl/>
            <w:ind w:firstLine="1040"/>
            <w:jc w:val="center"/>
            <w:rPr>
              <w:rFonts w:cs="Times New Roman"/>
              <w:sz w:val="52"/>
              <w:szCs w:val="52"/>
            </w:rPr>
          </w:pPr>
        </w:p>
        <w:p>
          <w:pPr>
            <w:widowControl/>
            <w:ind w:firstLine="1040"/>
            <w:jc w:val="center"/>
            <w:rPr>
              <w:rFonts w:cs="Times New Roman"/>
              <w:sz w:val="52"/>
              <w:szCs w:val="52"/>
            </w:rPr>
          </w:pPr>
        </w:p>
        <w:p>
          <w:pPr>
            <w:widowControl/>
            <w:ind w:firstLine="960"/>
            <w:jc w:val="center"/>
            <w:rPr>
              <w:rFonts w:cs="Times New Roman"/>
              <w:sz w:val="48"/>
              <w:szCs w:val="52"/>
            </w:rPr>
          </w:pPr>
        </w:p>
        <w:p>
          <w:pPr>
            <w:widowControl/>
            <w:ind w:firstLine="120" w:firstLineChars="23"/>
            <w:jc w:val="center"/>
            <w:rPr>
              <w:rFonts w:hint="eastAsia" w:cs="Times New Roman"/>
              <w:b/>
              <w:sz w:val="52"/>
              <w:szCs w:val="72"/>
              <w:lang w:eastAsia="zh-CN"/>
            </w:rPr>
          </w:pPr>
          <w:r>
            <w:rPr>
              <w:rFonts w:hint="eastAsia" w:cs="Times New Roman"/>
              <w:b/>
              <w:sz w:val="52"/>
              <w:szCs w:val="72"/>
              <w:lang w:eastAsia="zh-CN"/>
            </w:rPr>
            <w:t>天津怀仁制药有限公司</w:t>
          </w:r>
        </w:p>
        <w:p>
          <w:pPr>
            <w:widowControl/>
            <w:ind w:firstLine="120" w:firstLineChars="23"/>
            <w:jc w:val="center"/>
            <w:rPr>
              <w:rFonts w:cs="Times New Roman"/>
              <w:b/>
              <w:sz w:val="52"/>
              <w:szCs w:val="72"/>
            </w:rPr>
          </w:pPr>
          <w:r>
            <w:rPr>
              <w:rFonts w:hint="eastAsia" w:cs="Times New Roman"/>
              <w:b/>
              <w:sz w:val="52"/>
              <w:szCs w:val="72"/>
              <w:lang w:eastAsia="zh-CN"/>
            </w:rPr>
            <w:t>202</w:t>
          </w:r>
          <w:r>
            <w:rPr>
              <w:rFonts w:hint="eastAsia" w:cs="Times New Roman"/>
              <w:b/>
              <w:sz w:val="52"/>
              <w:szCs w:val="72"/>
              <w:lang w:val="en-US" w:eastAsia="zh-CN"/>
            </w:rPr>
            <w:t>4</w:t>
          </w:r>
          <w:r>
            <w:rPr>
              <w:rFonts w:hint="eastAsia" w:cs="Times New Roman"/>
              <w:b/>
              <w:sz w:val="52"/>
              <w:szCs w:val="72"/>
            </w:rPr>
            <w:t>年度社会责任报告</w:t>
          </w:r>
        </w:p>
        <w:p>
          <w:pPr>
            <w:widowControl/>
            <w:ind w:firstLine="480"/>
            <w:jc w:val="left"/>
            <w:rPr>
              <w:rFonts w:cs="Times New Roman"/>
              <w:szCs w:val="24"/>
            </w:rPr>
          </w:pPr>
        </w:p>
        <w:p>
          <w:pPr>
            <w:widowControl/>
            <w:ind w:firstLine="480"/>
            <w:jc w:val="left"/>
            <w:rPr>
              <w:rFonts w:cs="Times New Roman"/>
              <w:szCs w:val="24"/>
            </w:rPr>
          </w:pPr>
        </w:p>
        <w:p>
          <w:pPr>
            <w:widowControl/>
            <w:ind w:firstLine="480"/>
            <w:jc w:val="left"/>
            <w:rPr>
              <w:rFonts w:cs="Times New Roman"/>
              <w:szCs w:val="24"/>
            </w:rPr>
          </w:pPr>
        </w:p>
        <w:p>
          <w:pPr>
            <w:widowControl/>
            <w:ind w:firstLine="480"/>
            <w:jc w:val="left"/>
            <w:rPr>
              <w:rFonts w:cs="Times New Roman"/>
              <w:szCs w:val="24"/>
            </w:rPr>
          </w:pPr>
        </w:p>
        <w:p>
          <w:pPr>
            <w:widowControl/>
            <w:ind w:firstLine="480"/>
            <w:jc w:val="left"/>
            <w:rPr>
              <w:rFonts w:cs="Times New Roman"/>
              <w:szCs w:val="24"/>
            </w:rPr>
          </w:pPr>
        </w:p>
        <w:p>
          <w:pPr>
            <w:widowControl/>
            <w:ind w:firstLine="480"/>
            <w:jc w:val="left"/>
            <w:rPr>
              <w:rFonts w:cs="Times New Roman"/>
              <w:szCs w:val="24"/>
            </w:rPr>
          </w:pPr>
        </w:p>
        <w:p>
          <w:pPr>
            <w:widowControl/>
            <w:ind w:firstLine="480"/>
            <w:jc w:val="left"/>
            <w:rPr>
              <w:rFonts w:cs="Times New Roman"/>
              <w:szCs w:val="24"/>
            </w:rPr>
          </w:pPr>
        </w:p>
        <w:p>
          <w:pPr>
            <w:widowControl/>
            <w:ind w:firstLine="480"/>
            <w:jc w:val="left"/>
            <w:rPr>
              <w:rFonts w:cs="Times New Roman"/>
              <w:szCs w:val="24"/>
            </w:rPr>
          </w:pPr>
        </w:p>
        <w:p>
          <w:pPr>
            <w:widowControl/>
            <w:ind w:firstLine="480"/>
            <w:jc w:val="left"/>
            <w:rPr>
              <w:rFonts w:cs="Times New Roman"/>
              <w:szCs w:val="24"/>
            </w:rPr>
          </w:pPr>
        </w:p>
        <w:p>
          <w:pPr>
            <w:widowControl/>
            <w:ind w:firstLine="480"/>
            <w:jc w:val="left"/>
            <w:rPr>
              <w:rFonts w:cs="Times New Roman"/>
              <w:szCs w:val="24"/>
            </w:rPr>
          </w:pPr>
        </w:p>
        <w:p>
          <w:pPr>
            <w:widowControl/>
            <w:ind w:firstLine="480"/>
            <w:jc w:val="left"/>
            <w:rPr>
              <w:rFonts w:cs="Times New Roman"/>
              <w:szCs w:val="24"/>
            </w:rPr>
          </w:pPr>
        </w:p>
        <w:p>
          <w:pPr>
            <w:widowControl/>
            <w:ind w:firstLine="480"/>
            <w:jc w:val="left"/>
            <w:rPr>
              <w:rFonts w:cs="Times New Roman"/>
              <w:szCs w:val="24"/>
            </w:rPr>
          </w:pPr>
        </w:p>
        <w:p>
          <w:pPr>
            <w:widowControl/>
            <w:ind w:firstLine="480"/>
            <w:jc w:val="left"/>
            <w:rPr>
              <w:rFonts w:cs="Times New Roman"/>
              <w:szCs w:val="24"/>
            </w:rPr>
          </w:pPr>
        </w:p>
        <w:p>
          <w:pPr>
            <w:widowControl/>
            <w:ind w:firstLine="0" w:firstLineChars="0"/>
            <w:jc w:val="left"/>
            <w:rPr>
              <w:rFonts w:cs="Times New Roman"/>
              <w:szCs w:val="24"/>
            </w:rPr>
          </w:pPr>
        </w:p>
        <w:p>
          <w:pPr>
            <w:widowControl/>
            <w:ind w:firstLine="880"/>
            <w:jc w:val="center"/>
            <w:rPr>
              <w:rFonts w:cs="Times New Roman"/>
              <w:sz w:val="44"/>
              <w:szCs w:val="44"/>
            </w:rPr>
          </w:pPr>
          <w:r>
            <w:rPr>
              <w:rFonts w:hint="eastAsia" w:cs="Times New Roman"/>
              <w:sz w:val="44"/>
              <w:szCs w:val="44"/>
            </w:rPr>
            <w:t>20</w:t>
          </w:r>
          <w:r>
            <w:rPr>
              <w:rFonts w:cs="Times New Roman"/>
              <w:sz w:val="44"/>
              <w:szCs w:val="44"/>
            </w:rPr>
            <w:t>2</w:t>
          </w:r>
          <w:r>
            <w:rPr>
              <w:rFonts w:hint="eastAsia" w:cs="Times New Roman"/>
              <w:sz w:val="44"/>
              <w:szCs w:val="44"/>
              <w:lang w:val="en-US" w:eastAsia="zh-CN"/>
            </w:rPr>
            <w:t>5</w:t>
          </w:r>
          <w:r>
            <w:rPr>
              <w:rFonts w:hint="eastAsia" w:cs="Times New Roman"/>
              <w:sz w:val="44"/>
              <w:szCs w:val="44"/>
            </w:rPr>
            <w:t>年01月</w:t>
          </w:r>
        </w:p>
        <w:p>
          <w:pPr>
            <w:widowControl/>
            <w:ind w:firstLine="480"/>
            <w:jc w:val="left"/>
            <w:rPr>
              <w:rFonts w:cs="Times New Roman"/>
              <w:szCs w:val="24"/>
            </w:rPr>
          </w:pPr>
        </w:p>
        <w:p>
          <w:pPr>
            <w:widowControl/>
            <w:ind w:firstLine="480"/>
            <w:jc w:val="left"/>
            <w:rPr>
              <w:rFonts w:cs="Times New Roman"/>
              <w:szCs w:val="24"/>
            </w:rPr>
          </w:pPr>
        </w:p>
        <w:p>
          <w:pPr>
            <w:widowControl/>
            <w:ind w:firstLine="480"/>
            <w:jc w:val="left"/>
            <w:rPr>
              <w:rFonts w:cs="Times New Roman"/>
              <w:szCs w:val="24"/>
            </w:rPr>
          </w:pPr>
        </w:p>
      </w:sdtContent>
    </w:sdt>
    <w:sdt>
      <w:sdtPr>
        <w:rPr>
          <w:rFonts w:ascii="Times New Roman" w:hAnsi="Times New Roman" w:eastAsiaTheme="minorEastAsia" w:cstheme="minorBidi"/>
          <w:color w:val="auto"/>
          <w:kern w:val="2"/>
          <w:sz w:val="24"/>
          <w:szCs w:val="22"/>
          <w:lang w:val="zh-CN"/>
        </w:rPr>
        <w:id w:val="506341661"/>
        <w:docPartObj>
          <w:docPartGallery w:val="Table of Contents"/>
          <w:docPartUnique/>
        </w:docPartObj>
      </w:sdtPr>
      <w:sdtEndPr>
        <w:rPr>
          <w:rFonts w:ascii="Times New Roman" w:hAnsi="Times New Roman" w:eastAsiaTheme="minorEastAsia" w:cstheme="minorBidi"/>
          <w:b/>
          <w:bCs/>
          <w:color w:val="auto"/>
          <w:kern w:val="2"/>
          <w:sz w:val="24"/>
          <w:szCs w:val="22"/>
          <w:lang w:val="zh-CN"/>
        </w:rPr>
      </w:sdtEndPr>
      <w:sdtContent>
        <w:p>
          <w:pPr>
            <w:pStyle w:val="21"/>
            <w:ind w:firstLine="480"/>
            <w:jc w:val="center"/>
          </w:pPr>
          <w:r>
            <w:rPr>
              <w:lang w:val="zh-CN"/>
            </w:rPr>
            <w:t>目录</w:t>
          </w:r>
        </w:p>
        <w:p>
          <w:pPr>
            <w:pStyle w:val="10"/>
            <w:tabs>
              <w:tab w:val="right" w:leader="dot" w:pos="8306"/>
            </w:tabs>
            <w:ind w:firstLine="480"/>
          </w:pPr>
          <w:r>
            <w:fldChar w:fldCharType="begin"/>
          </w:r>
          <w:r>
            <w:instrText xml:space="preserve"> TOC \o "1-3" \h \z \u </w:instrText>
          </w:r>
          <w:r>
            <w:fldChar w:fldCharType="separate"/>
          </w:r>
          <w:r>
            <w:fldChar w:fldCharType="begin"/>
          </w:r>
          <w:r>
            <w:instrText xml:space="preserve"> HYPERLINK \l "_Toc8752" </w:instrText>
          </w:r>
          <w:r>
            <w:fldChar w:fldCharType="separate"/>
          </w:r>
          <w:r>
            <w:rPr>
              <w:szCs w:val="28"/>
            </w:rPr>
            <w:t>关于本报告</w:t>
          </w:r>
          <w:r>
            <w:tab/>
          </w:r>
          <w:r>
            <w:fldChar w:fldCharType="end"/>
          </w:r>
        </w:p>
        <w:p>
          <w:pPr>
            <w:pStyle w:val="10"/>
            <w:tabs>
              <w:tab w:val="right" w:leader="dot" w:pos="8306"/>
            </w:tabs>
            <w:ind w:firstLine="480"/>
          </w:pPr>
          <w:r>
            <w:fldChar w:fldCharType="begin"/>
          </w:r>
          <w:r>
            <w:instrText xml:space="preserve"> HYPERLINK \l "_Toc20134" </w:instrText>
          </w:r>
          <w:r>
            <w:fldChar w:fldCharType="separate"/>
          </w:r>
          <w:r>
            <w:rPr>
              <w:rFonts w:hint="eastAsia"/>
              <w:szCs w:val="28"/>
            </w:rPr>
            <w:t xml:space="preserve">第一章 </w:t>
          </w:r>
          <w:r>
            <w:rPr>
              <w:szCs w:val="28"/>
            </w:rPr>
            <w:t>公司基本情况</w:t>
          </w:r>
          <w:r>
            <w:tab/>
          </w:r>
          <w:r>
            <w:fldChar w:fldCharType="end"/>
          </w:r>
        </w:p>
        <w:p>
          <w:pPr>
            <w:pStyle w:val="10"/>
            <w:tabs>
              <w:tab w:val="right" w:leader="dot" w:pos="8306"/>
            </w:tabs>
            <w:ind w:firstLine="480"/>
          </w:pPr>
          <w:r>
            <w:fldChar w:fldCharType="begin"/>
          </w:r>
          <w:r>
            <w:instrText xml:space="preserve"> HYPERLINK \l "_Toc2674" </w:instrText>
          </w:r>
          <w:r>
            <w:fldChar w:fldCharType="separate"/>
          </w:r>
          <w:r>
            <w:rPr>
              <w:rFonts w:hint="eastAsia"/>
              <w:szCs w:val="28"/>
            </w:rPr>
            <w:t xml:space="preserve">第二章 </w:t>
          </w:r>
          <w:r>
            <w:rPr>
              <w:szCs w:val="28"/>
            </w:rPr>
            <w:t>员工权益和健康安全保障</w:t>
          </w:r>
          <w:r>
            <w:tab/>
          </w:r>
          <w:r>
            <w:fldChar w:fldCharType="end"/>
          </w:r>
        </w:p>
        <w:p>
          <w:pPr>
            <w:pStyle w:val="10"/>
            <w:tabs>
              <w:tab w:val="right" w:leader="dot" w:pos="8306"/>
            </w:tabs>
            <w:ind w:firstLine="480"/>
          </w:pPr>
          <w:r>
            <w:fldChar w:fldCharType="begin"/>
          </w:r>
          <w:r>
            <w:instrText xml:space="preserve"> HYPERLINK \l "_Toc8629" </w:instrText>
          </w:r>
          <w:r>
            <w:fldChar w:fldCharType="separate"/>
          </w:r>
          <w:r>
            <w:rPr>
              <w:rFonts w:hint="eastAsia"/>
              <w:szCs w:val="28"/>
            </w:rPr>
            <w:t xml:space="preserve">第三章 </w:t>
          </w:r>
          <w:r>
            <w:rPr>
              <w:rFonts w:hint="eastAsia"/>
              <w:szCs w:val="28"/>
              <w:lang w:val="en-US" w:eastAsia="zh-CN"/>
            </w:rPr>
            <w:t>可持续采购</w:t>
          </w:r>
          <w:r>
            <w:tab/>
          </w:r>
          <w:r>
            <w:fldChar w:fldCharType="end"/>
          </w:r>
        </w:p>
        <w:p>
          <w:pPr>
            <w:pStyle w:val="10"/>
            <w:tabs>
              <w:tab w:val="right" w:leader="dot" w:pos="8306"/>
            </w:tabs>
            <w:ind w:firstLine="480"/>
          </w:pPr>
          <w:r>
            <w:fldChar w:fldCharType="begin"/>
          </w:r>
          <w:r>
            <w:instrText xml:space="preserve"> HYPERLINK \l "_Toc4456" </w:instrText>
          </w:r>
          <w:r>
            <w:fldChar w:fldCharType="separate"/>
          </w:r>
          <w:r>
            <w:rPr>
              <w:rFonts w:hint="eastAsia"/>
              <w:szCs w:val="28"/>
            </w:rPr>
            <w:t xml:space="preserve">第四章 </w:t>
          </w:r>
          <w:r>
            <w:rPr>
              <w:szCs w:val="28"/>
            </w:rPr>
            <w:t>客户权益维护及产品质量控制</w:t>
          </w:r>
          <w:r>
            <w:tab/>
          </w:r>
          <w:r>
            <w:fldChar w:fldCharType="end"/>
          </w:r>
        </w:p>
        <w:p>
          <w:pPr>
            <w:pStyle w:val="10"/>
            <w:tabs>
              <w:tab w:val="right" w:leader="dot" w:pos="8306"/>
            </w:tabs>
            <w:ind w:firstLine="480"/>
          </w:pPr>
          <w:r>
            <w:fldChar w:fldCharType="begin"/>
          </w:r>
          <w:r>
            <w:instrText xml:space="preserve"> HYPERLINK \l "_Toc8586" </w:instrText>
          </w:r>
          <w:r>
            <w:fldChar w:fldCharType="separate"/>
          </w:r>
          <w:r>
            <w:rPr>
              <w:rFonts w:hint="eastAsia"/>
              <w:szCs w:val="28"/>
            </w:rPr>
            <w:t xml:space="preserve">第五章 </w:t>
          </w:r>
          <w:r>
            <w:rPr>
              <w:szCs w:val="28"/>
            </w:rPr>
            <w:t>环境保护和可持续发展</w:t>
          </w:r>
          <w:r>
            <w:tab/>
          </w:r>
          <w:r>
            <w:fldChar w:fldCharType="end"/>
          </w:r>
        </w:p>
        <w:p>
          <w:pPr>
            <w:pStyle w:val="10"/>
            <w:tabs>
              <w:tab w:val="right" w:leader="dot" w:pos="8306"/>
            </w:tabs>
            <w:ind w:firstLine="480"/>
          </w:pPr>
          <w:r>
            <w:fldChar w:fldCharType="begin"/>
          </w:r>
          <w:r>
            <w:instrText xml:space="preserve"> HYPERLINK \l "_Toc5218" </w:instrText>
          </w:r>
          <w:r>
            <w:fldChar w:fldCharType="separate"/>
          </w:r>
          <w:r>
            <w:rPr>
              <w:rFonts w:hint="eastAsia"/>
              <w:szCs w:val="28"/>
            </w:rPr>
            <w:t>第六章 企业所获荣誉和参加</w:t>
          </w:r>
          <w:r>
            <w:rPr>
              <w:szCs w:val="28"/>
            </w:rPr>
            <w:t>社会公益事业</w:t>
          </w:r>
          <w:r>
            <w:rPr>
              <w:rFonts w:hint="eastAsia"/>
              <w:szCs w:val="28"/>
            </w:rPr>
            <w:t>（节选）</w:t>
          </w:r>
          <w:r>
            <w:tab/>
          </w:r>
          <w:r>
            <w:fldChar w:fldCharType="end"/>
          </w:r>
        </w:p>
        <w:p>
          <w:pPr>
            <w:ind w:firstLine="480"/>
          </w:pPr>
          <w:r>
            <w:rPr>
              <w:bCs/>
              <w:lang w:val="zh-CN"/>
            </w:rPr>
            <w:fldChar w:fldCharType="end"/>
          </w:r>
        </w:p>
      </w:sdtContent>
    </w:sdt>
    <w:p>
      <w:pPr>
        <w:ind w:firstLine="480"/>
      </w:pPr>
    </w:p>
    <w:p>
      <w:pPr>
        <w:widowControl/>
        <w:ind w:firstLine="560"/>
        <w:jc w:val="left"/>
        <w:rPr>
          <w:b/>
          <w:bCs/>
          <w:kern w:val="44"/>
          <w:sz w:val="28"/>
          <w:szCs w:val="28"/>
        </w:rPr>
      </w:pPr>
      <w:r>
        <w:rPr>
          <w:sz w:val="28"/>
          <w:szCs w:val="28"/>
        </w:rPr>
        <w:br w:type="page"/>
      </w:r>
    </w:p>
    <w:p>
      <w:pPr>
        <w:pStyle w:val="2"/>
        <w:spacing w:before="0" w:after="0" w:line="360" w:lineRule="auto"/>
        <w:ind w:firstLine="0" w:firstLineChars="0"/>
        <w:rPr>
          <w:sz w:val="28"/>
          <w:szCs w:val="28"/>
        </w:rPr>
      </w:pPr>
      <w:bookmarkStart w:id="0" w:name="_Toc8752"/>
      <w:r>
        <w:rPr>
          <w:sz w:val="28"/>
          <w:szCs w:val="28"/>
        </w:rPr>
        <w:t>关于本报告</w:t>
      </w:r>
      <w:bookmarkEnd w:id="0"/>
    </w:p>
    <w:p>
      <w:pPr>
        <w:ind w:left="0" w:leftChars="0" w:firstLine="480" w:firstLineChars="200"/>
      </w:pPr>
      <w:r>
        <w:rPr>
          <w:rFonts w:hint="eastAsia"/>
        </w:rPr>
        <w:t xml:space="preserve">本报告阐述了公司在 </w:t>
      </w:r>
      <w:r>
        <w:rPr>
          <w:rFonts w:hint="eastAsia"/>
          <w:lang w:eastAsia="zh-CN"/>
        </w:rPr>
        <w:t>2024</w:t>
      </w:r>
      <w:r>
        <w:rPr>
          <w:rFonts w:hint="eastAsia"/>
        </w:rPr>
        <w:t>年实现自身发展的同时，积极履行社会责任的具体情况，披露了公司履行安全、环境和社会方面责任的理念、实践和成绩。</w:t>
      </w:r>
    </w:p>
    <w:p>
      <w:pPr>
        <w:ind w:firstLine="482"/>
        <w:rPr>
          <w:b/>
        </w:rPr>
      </w:pPr>
      <w:r>
        <w:rPr>
          <w:b/>
        </w:rPr>
        <w:t>时间范围</w:t>
      </w:r>
    </w:p>
    <w:p>
      <w:pPr>
        <w:ind w:firstLine="480"/>
      </w:pPr>
      <w:r>
        <w:rPr>
          <w:rFonts w:hint="eastAsia"/>
        </w:rPr>
        <w:t>报告覆盖时间周期为</w:t>
      </w:r>
      <w:r>
        <w:rPr>
          <w:rFonts w:hint="eastAsia"/>
          <w:lang w:eastAsia="zh-CN"/>
        </w:rPr>
        <w:t>2024</w:t>
      </w:r>
      <w:r>
        <w:rPr>
          <w:rFonts w:hint="eastAsia"/>
        </w:rPr>
        <w:t>年1月1日-</w:t>
      </w:r>
      <w:r>
        <w:rPr>
          <w:rFonts w:hint="eastAsia"/>
          <w:lang w:eastAsia="zh-CN"/>
        </w:rPr>
        <w:t>2024</w:t>
      </w:r>
      <w:r>
        <w:t>年</w:t>
      </w:r>
      <w:r>
        <w:rPr>
          <w:rFonts w:hint="eastAsia"/>
        </w:rPr>
        <w:t>12月31日，并包含部分历史信息和更新信息。</w:t>
      </w:r>
    </w:p>
    <w:p>
      <w:pPr>
        <w:ind w:firstLine="482"/>
        <w:rPr>
          <w:b/>
        </w:rPr>
      </w:pPr>
      <w:r>
        <w:rPr>
          <w:b/>
        </w:rPr>
        <w:t>指代说明</w:t>
      </w:r>
    </w:p>
    <w:p>
      <w:pPr>
        <w:ind w:firstLine="480"/>
      </w:pPr>
      <w:r>
        <w:rPr>
          <w:rFonts w:hint="eastAsia"/>
        </w:rPr>
        <w:t>为了便于阅读，报告中“</w:t>
      </w:r>
      <w:r>
        <w:rPr>
          <w:rFonts w:hint="eastAsia"/>
          <w:lang w:eastAsia="zh-CN"/>
        </w:rPr>
        <w:t>天津怀仁制药有限公司</w:t>
      </w:r>
      <w:r>
        <w:rPr>
          <w:rFonts w:hint="eastAsia"/>
        </w:rPr>
        <w:t>”也以“</w:t>
      </w:r>
      <w:r>
        <w:rPr>
          <w:rFonts w:hint="eastAsia"/>
          <w:lang w:val="en-US" w:eastAsia="zh-CN"/>
        </w:rPr>
        <w:t>天津怀仁</w:t>
      </w:r>
      <w:r>
        <w:rPr>
          <w:rFonts w:hint="eastAsia"/>
        </w:rPr>
        <w:t>”、“本公司”或“我们”表示。</w:t>
      </w:r>
    </w:p>
    <w:p>
      <w:pPr>
        <w:ind w:firstLine="482"/>
        <w:rPr>
          <w:b/>
        </w:rPr>
      </w:pPr>
      <w:r>
        <w:rPr>
          <w:b/>
        </w:rPr>
        <w:t>报告范围</w:t>
      </w:r>
    </w:p>
    <w:p>
      <w:pPr>
        <w:ind w:firstLine="480"/>
      </w:pPr>
      <w:r>
        <w:rPr>
          <w:rFonts w:hint="eastAsia"/>
        </w:rPr>
        <w:t>除特别说明，本报告范围仅包括</w:t>
      </w:r>
      <w:r>
        <w:rPr>
          <w:rFonts w:hint="eastAsia"/>
          <w:lang w:eastAsia="zh-CN"/>
        </w:rPr>
        <w:t>天津怀仁制药有限公司</w:t>
      </w:r>
      <w:r>
        <w:rPr>
          <w:rFonts w:hint="eastAsia"/>
        </w:rPr>
        <w:t>。</w:t>
      </w:r>
    </w:p>
    <w:p>
      <w:pPr>
        <w:ind w:firstLine="482"/>
        <w:rPr>
          <w:b/>
        </w:rPr>
      </w:pPr>
      <w:r>
        <w:rPr>
          <w:rFonts w:hint="eastAsia"/>
          <w:b/>
        </w:rPr>
        <w:t>报告内容</w:t>
      </w:r>
    </w:p>
    <w:p>
      <w:pPr>
        <w:ind w:firstLine="480"/>
      </w:pPr>
      <w:r>
        <w:rPr>
          <w:rFonts w:hint="eastAsia"/>
        </w:rPr>
        <w:t>本报告真实、客观地反应了</w:t>
      </w:r>
      <w:r>
        <w:rPr>
          <w:rFonts w:hint="eastAsia"/>
          <w:lang w:eastAsia="zh-CN"/>
        </w:rPr>
        <w:t>天津怀仁2024</w:t>
      </w:r>
      <w:r>
        <w:rPr>
          <w:rFonts w:hint="eastAsia"/>
        </w:rPr>
        <w:t>年度在日常经营管理活动中，履行社会责任方面的重要内容。本公司在大力发展循环经济，创造经济效益的同时，主动承担社会责任，遵守法律法规，恪守商业道德，保护员工的合法权益，提供安全舒适的工作环境，诚信对待供应商和客户，不断降低能源消耗与污染物排放，积极从事公益事业，并接受政府和公众的监督。致力于实现</w:t>
      </w:r>
      <w:r>
        <w:rPr>
          <w:rFonts w:hint="eastAsia"/>
          <w:lang w:eastAsia="zh-CN"/>
        </w:rPr>
        <w:t>合纵实科</w:t>
      </w:r>
      <w:r>
        <w:rPr>
          <w:rFonts w:hint="eastAsia"/>
        </w:rPr>
        <w:t>与全社会的和谐发展。</w:t>
      </w:r>
    </w:p>
    <w:p>
      <w:pPr>
        <w:ind w:firstLine="482"/>
        <w:rPr>
          <w:b/>
        </w:rPr>
      </w:pPr>
      <w:r>
        <w:rPr>
          <w:b/>
        </w:rPr>
        <w:t>编制依据</w:t>
      </w:r>
    </w:p>
    <w:p>
      <w:pPr>
        <w:ind w:firstLine="480"/>
      </w:pPr>
      <w:r>
        <w:rPr>
          <w:rFonts w:hint="eastAsia"/>
        </w:rPr>
        <w:t>本报告依据《社会责任指南》（GB/T 36000-</w:t>
      </w:r>
      <w:r>
        <w:t>2015</w:t>
      </w:r>
      <w:r>
        <w:rPr>
          <w:rFonts w:hint="eastAsia"/>
        </w:rPr>
        <w:t>）、《社会责任报告编制指南》（GB/T 36001-</w:t>
      </w:r>
      <w:r>
        <w:t>2015</w:t>
      </w:r>
      <w:r>
        <w:rPr>
          <w:rFonts w:hint="eastAsia"/>
        </w:rPr>
        <w:t>），并参考SA 8000以及国际标准化组织发布的《社会责任指南 》（ISO</w:t>
      </w:r>
      <w:r>
        <w:t xml:space="preserve"> 26000）进行</w:t>
      </w:r>
      <w:r>
        <w:rPr>
          <w:rFonts w:hint="eastAsia"/>
        </w:rPr>
        <w:t>编制。</w:t>
      </w:r>
    </w:p>
    <w:p>
      <w:pPr>
        <w:ind w:firstLine="482"/>
        <w:rPr>
          <w:b/>
        </w:rPr>
      </w:pPr>
      <w:r>
        <w:rPr>
          <w:b/>
        </w:rPr>
        <w:t>数据来源与可靠性保证</w:t>
      </w:r>
    </w:p>
    <w:p>
      <w:pPr>
        <w:ind w:firstLine="480"/>
      </w:pPr>
      <w:r>
        <w:t>本报告中披露信息和数据均来自</w:t>
      </w:r>
      <w:r>
        <w:rPr>
          <w:rFonts w:hint="eastAsia"/>
          <w:lang w:eastAsia="zh-CN"/>
        </w:rPr>
        <w:t>天津怀仁</w:t>
      </w:r>
      <w:r>
        <w:t>正式文件和统计报告</w:t>
      </w:r>
      <w:r>
        <w:rPr>
          <w:rFonts w:hint="eastAsia"/>
        </w:rPr>
        <w:t>，</w:t>
      </w:r>
      <w:r>
        <w:t>且经过相关部门审核</w:t>
      </w:r>
      <w:r>
        <w:rPr>
          <w:rFonts w:hint="eastAsia"/>
        </w:rPr>
        <w:t>。</w:t>
      </w:r>
      <w:r>
        <w:t>报告内容不存在任何虚假记载</w:t>
      </w:r>
      <w:r>
        <w:rPr>
          <w:rFonts w:hint="eastAsia"/>
        </w:rPr>
        <w:t>、</w:t>
      </w:r>
      <w:r>
        <w:t>误导性陈述或重大遗漏</w:t>
      </w:r>
      <w:r>
        <w:rPr>
          <w:rFonts w:hint="eastAsia"/>
        </w:rPr>
        <w:t>。</w:t>
      </w:r>
    </w:p>
    <w:p>
      <w:pPr>
        <w:ind w:firstLine="480"/>
      </w:pPr>
    </w:p>
    <w:p>
      <w:pPr>
        <w:ind w:firstLine="480"/>
      </w:pPr>
    </w:p>
    <w:p>
      <w:pPr>
        <w:ind w:firstLine="480"/>
      </w:pPr>
    </w:p>
    <w:p>
      <w:pPr>
        <w:pStyle w:val="2"/>
        <w:numPr>
          <w:ilvl w:val="0"/>
          <w:numId w:val="1"/>
        </w:numPr>
        <w:spacing w:before="0" w:after="0" w:line="360" w:lineRule="auto"/>
        <w:ind w:firstLine="0" w:firstLineChars="0"/>
        <w:rPr>
          <w:sz w:val="28"/>
          <w:szCs w:val="28"/>
        </w:rPr>
      </w:pPr>
      <w:bookmarkStart w:id="1" w:name="_Toc20134"/>
      <w:r>
        <w:rPr>
          <w:sz w:val="28"/>
          <w:szCs w:val="28"/>
        </w:rPr>
        <w:t>公司基本情况</w:t>
      </w:r>
      <w:bookmarkEnd w:id="1"/>
    </w:p>
    <w:p>
      <w:pPr>
        <w:ind w:left="0" w:leftChars="0" w:firstLine="480" w:firstLineChars="200"/>
        <w:rPr>
          <w:rFonts w:hint="eastAsia" w:ascii="宋体" w:hAnsi="宋体" w:eastAsia="宋体" w:cs="宋体"/>
          <w:i w:val="0"/>
          <w:iCs w:val="0"/>
          <w:caps w:val="0"/>
          <w:color w:val="353535"/>
          <w:spacing w:val="0"/>
          <w:sz w:val="24"/>
          <w:szCs w:val="24"/>
          <w:shd w:val="clear" w:fill="FFFFFF"/>
          <w:lang w:eastAsia="zh-CN"/>
        </w:rPr>
      </w:pPr>
      <w:r>
        <w:rPr>
          <w:rFonts w:hint="eastAsia" w:ascii="宋体" w:hAnsi="宋体" w:eastAsia="宋体" w:cs="宋体"/>
          <w:i w:val="0"/>
          <w:iCs w:val="0"/>
          <w:caps w:val="0"/>
          <w:color w:val="353535"/>
          <w:spacing w:val="0"/>
          <w:sz w:val="24"/>
          <w:szCs w:val="24"/>
          <w:shd w:val="clear" w:fill="FFFFFF"/>
          <w:lang w:eastAsia="zh-CN"/>
        </w:rPr>
        <w:fldChar w:fldCharType="begin"/>
      </w:r>
      <w:r>
        <w:rPr>
          <w:rFonts w:hint="eastAsia" w:ascii="宋体" w:hAnsi="宋体" w:eastAsia="宋体" w:cs="宋体"/>
          <w:i w:val="0"/>
          <w:iCs w:val="0"/>
          <w:caps w:val="0"/>
          <w:color w:val="353535"/>
          <w:spacing w:val="0"/>
          <w:sz w:val="24"/>
          <w:szCs w:val="24"/>
          <w:shd w:val="clear" w:fill="FFFFFF"/>
          <w:lang w:eastAsia="zh-CN"/>
        </w:rPr>
        <w:instrText xml:space="preserve"> HYPERLINK "http://www.huairenpharm.com/" </w:instrText>
      </w:r>
      <w:r>
        <w:rPr>
          <w:rFonts w:hint="eastAsia" w:ascii="宋体" w:hAnsi="宋体" w:eastAsia="宋体" w:cs="宋体"/>
          <w:i w:val="0"/>
          <w:iCs w:val="0"/>
          <w:caps w:val="0"/>
          <w:color w:val="353535"/>
          <w:spacing w:val="0"/>
          <w:sz w:val="24"/>
          <w:szCs w:val="24"/>
          <w:shd w:val="clear" w:fill="FFFFFF"/>
          <w:lang w:eastAsia="zh-CN"/>
        </w:rPr>
        <w:fldChar w:fldCharType="separate"/>
      </w:r>
      <w:r>
        <w:rPr>
          <w:rFonts w:hint="eastAsia" w:ascii="宋体" w:hAnsi="宋体" w:eastAsia="宋体" w:cs="宋体"/>
          <w:i w:val="0"/>
          <w:iCs w:val="0"/>
          <w:caps w:val="0"/>
          <w:color w:val="353535"/>
          <w:spacing w:val="0"/>
          <w:sz w:val="24"/>
          <w:szCs w:val="24"/>
          <w:shd w:val="clear" w:fill="FFFFFF"/>
          <w:lang w:eastAsia="zh-CN"/>
        </w:rPr>
        <w:t>天津怀仁制药有限公司</w:t>
      </w:r>
      <w:r>
        <w:rPr>
          <w:rFonts w:hint="eastAsia" w:ascii="宋体" w:hAnsi="宋体" w:eastAsia="宋体" w:cs="宋体"/>
          <w:i w:val="0"/>
          <w:iCs w:val="0"/>
          <w:caps w:val="0"/>
          <w:color w:val="353535"/>
          <w:spacing w:val="0"/>
          <w:sz w:val="24"/>
          <w:szCs w:val="24"/>
          <w:shd w:val="clear" w:fill="FFFFFF"/>
          <w:lang w:eastAsia="zh-CN"/>
        </w:rPr>
        <w:fldChar w:fldCharType="end"/>
      </w:r>
      <w:r>
        <w:rPr>
          <w:rFonts w:hint="eastAsia" w:ascii="宋体" w:hAnsi="宋体" w:eastAsia="宋体" w:cs="宋体"/>
          <w:i w:val="0"/>
          <w:iCs w:val="0"/>
          <w:caps w:val="0"/>
          <w:color w:val="353535"/>
          <w:spacing w:val="0"/>
          <w:sz w:val="24"/>
          <w:szCs w:val="24"/>
          <w:shd w:val="clear" w:fill="FFFFFF"/>
          <w:lang w:eastAsia="zh-CN"/>
        </w:rPr>
        <w:t>始建于1996年，位于天津市西青经济开发区，占地面积4.1万平方米，是一家集药品研发、生产、销售于一体的现代化制药企业。公司现有员工</w:t>
      </w:r>
      <w:r>
        <w:rPr>
          <w:rFonts w:hint="eastAsia" w:ascii="宋体" w:hAnsi="宋体" w:eastAsia="宋体" w:cs="宋体"/>
          <w:i w:val="0"/>
          <w:iCs w:val="0"/>
          <w:caps w:val="0"/>
          <w:color w:val="353535"/>
          <w:spacing w:val="0"/>
          <w:sz w:val="24"/>
          <w:szCs w:val="24"/>
          <w:shd w:val="clear" w:fill="FFFFFF"/>
          <w:lang w:val="en-US" w:eastAsia="zh-CN"/>
        </w:rPr>
        <w:t>97</w:t>
      </w:r>
      <w:r>
        <w:rPr>
          <w:rFonts w:hint="eastAsia" w:ascii="宋体" w:hAnsi="宋体" w:eastAsia="宋体" w:cs="宋体"/>
          <w:i w:val="0"/>
          <w:iCs w:val="0"/>
          <w:caps w:val="0"/>
          <w:color w:val="353535"/>
          <w:spacing w:val="0"/>
          <w:sz w:val="24"/>
          <w:szCs w:val="24"/>
          <w:shd w:val="clear" w:fill="FFFFFF"/>
          <w:lang w:eastAsia="zh-CN"/>
        </w:rPr>
        <w:t xml:space="preserve">人，其中本科以上学历占员工总数的40%以上，拥有中高级职称12人，执业药师5人。公司为国家高新技术企业、天津市科技型中小型企业、天津市“专精特新”企业。 </w:t>
      </w:r>
    </w:p>
    <w:p>
      <w:pPr>
        <w:ind w:left="0" w:leftChars="0" w:firstLine="480" w:firstLineChars="200"/>
        <w:rPr>
          <w:rFonts w:hint="eastAsia" w:ascii="宋体" w:hAnsi="宋体" w:eastAsia="宋体" w:cs="宋体"/>
          <w:i w:val="0"/>
          <w:iCs w:val="0"/>
          <w:caps w:val="0"/>
          <w:color w:val="353535"/>
          <w:spacing w:val="0"/>
          <w:sz w:val="24"/>
          <w:szCs w:val="24"/>
          <w:shd w:val="clear" w:fill="FFFFFF"/>
          <w:lang w:eastAsia="zh-CN"/>
        </w:rPr>
      </w:pPr>
      <w:r>
        <w:rPr>
          <w:rFonts w:hint="eastAsia" w:ascii="宋体" w:hAnsi="宋体" w:eastAsia="宋体" w:cs="宋体"/>
          <w:i w:val="0"/>
          <w:iCs w:val="0"/>
          <w:caps w:val="0"/>
          <w:color w:val="353535"/>
          <w:spacing w:val="0"/>
          <w:sz w:val="24"/>
          <w:szCs w:val="24"/>
          <w:shd w:val="clear" w:fill="FFFFFF"/>
          <w:lang w:eastAsia="zh-CN"/>
        </w:rPr>
        <w:t>公司自成立近三十年以来，一直秉承“质量第一、信誉至上”的经营理念，以研发、生产优质药品服务人类健康。公司主要有原料药、片剂、胶囊、颗粒剂等剂型，产品主要用于治疗高血压、糖尿病、高血脂症、贫血症及抑郁症等慢性疾病，营销网络覆盖全国31个省、市、自治区。公司连续多年被天津市市场和质量监督管理委员会评为“药品生产量化等级与分类管理A级企业”、“放心药厂”。</w:t>
      </w:r>
    </w:p>
    <w:p>
      <w:pPr>
        <w:ind w:firstLine="0" w:firstLineChars="0"/>
        <w:jc w:val="center"/>
        <w:rPr>
          <w:rFonts w:hint="eastAsia" w:eastAsiaTheme="minorEastAsia"/>
          <w:szCs w:val="24"/>
          <w:lang w:eastAsia="zh-CN"/>
        </w:rPr>
      </w:pPr>
      <w:r>
        <w:rPr>
          <w:rFonts w:hint="eastAsia" w:eastAsiaTheme="minorEastAsia"/>
          <w:szCs w:val="24"/>
          <w:lang w:eastAsia="zh-CN"/>
        </w:rPr>
        <w:drawing>
          <wp:inline distT="0" distB="0" distL="114300" distR="114300">
            <wp:extent cx="5266690" cy="2837815"/>
            <wp:effectExtent l="0" t="0" r="10160" b="635"/>
            <wp:docPr id="43" name="图片 43" descr="微信截图_20250109103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微信截图_20250109103403"/>
                    <pic:cNvPicPr>
                      <a:picLocks noChangeAspect="1"/>
                    </pic:cNvPicPr>
                  </pic:nvPicPr>
                  <pic:blipFill>
                    <a:blip r:embed="rId12"/>
                    <a:stretch>
                      <a:fillRect/>
                    </a:stretch>
                  </pic:blipFill>
                  <pic:spPr>
                    <a:xfrm>
                      <a:off x="0" y="0"/>
                      <a:ext cx="5266690" cy="2837815"/>
                    </a:xfrm>
                    <a:prstGeom prst="rect">
                      <a:avLst/>
                    </a:prstGeom>
                  </pic:spPr>
                </pic:pic>
              </a:graphicData>
            </a:graphic>
          </wp:inline>
        </w:drawing>
      </w:r>
    </w:p>
    <w:p>
      <w:pPr>
        <w:ind w:firstLine="0" w:firstLineChars="0"/>
        <w:jc w:val="center"/>
        <w:rPr>
          <w:rFonts w:hint="eastAsia"/>
          <w:color w:val="auto"/>
        </w:rPr>
      </w:pPr>
      <w:r>
        <w:rPr>
          <w:rFonts w:hint="eastAsia"/>
          <w:color w:val="auto"/>
        </w:rPr>
        <w:t>图1</w:t>
      </w:r>
      <w:r>
        <w:rPr>
          <w:rFonts w:hint="eastAsia"/>
          <w:color w:val="auto"/>
          <w:lang w:eastAsia="zh-CN"/>
        </w:rPr>
        <w:t>天津怀仁</w:t>
      </w:r>
      <w:r>
        <w:rPr>
          <w:rFonts w:hint="eastAsia"/>
          <w:color w:val="auto"/>
        </w:rPr>
        <w:t>组织架构图</w:t>
      </w:r>
    </w:p>
    <w:p>
      <w:pPr>
        <w:pStyle w:val="2"/>
        <w:spacing w:before="0" w:after="0" w:line="360" w:lineRule="auto"/>
        <w:ind w:firstLine="0" w:firstLineChars="0"/>
        <w:rPr>
          <w:sz w:val="28"/>
          <w:szCs w:val="28"/>
        </w:rPr>
      </w:pPr>
      <w:bookmarkStart w:id="2" w:name="_Toc2674"/>
      <w:r>
        <w:rPr>
          <w:rFonts w:hint="eastAsia"/>
          <w:sz w:val="28"/>
          <w:szCs w:val="28"/>
        </w:rPr>
        <w:t xml:space="preserve">第二章 </w:t>
      </w:r>
      <w:r>
        <w:rPr>
          <w:sz w:val="28"/>
          <w:szCs w:val="28"/>
        </w:rPr>
        <w:t>员工权益和健康安全保障</w:t>
      </w:r>
      <w:bookmarkEnd w:id="2"/>
    </w:p>
    <w:p>
      <w:pPr>
        <w:ind w:firstLine="241" w:firstLineChars="100"/>
        <w:rPr>
          <w:b/>
        </w:rPr>
      </w:pPr>
      <w:r>
        <w:rPr>
          <w:rFonts w:hint="eastAsia"/>
          <w:b/>
        </w:rPr>
        <w:t>1</w:t>
      </w:r>
      <w:r>
        <w:rPr>
          <w:b/>
        </w:rPr>
        <w:t>. 维护员工权益</w:t>
      </w:r>
    </w:p>
    <w:p>
      <w:pPr>
        <w:ind w:firstLine="480"/>
        <w:rPr>
          <w:color w:val="000000" w:themeColor="text1"/>
          <w:szCs w:val="24"/>
          <w14:textFill>
            <w14:solidFill>
              <w14:schemeClr w14:val="tx1"/>
            </w14:solidFill>
          </w14:textFill>
        </w:rPr>
      </w:pPr>
      <w:r>
        <w:rPr>
          <w:rFonts w:hint="eastAsia"/>
          <w:color w:val="000000" w:themeColor="text1"/>
          <w:lang w:eastAsia="zh-CN"/>
          <w14:textFill>
            <w14:solidFill>
              <w14:schemeClr w14:val="tx1"/>
            </w14:solidFill>
          </w14:textFill>
        </w:rPr>
        <w:t>天津怀仁</w:t>
      </w:r>
      <w:r>
        <w:rPr>
          <w:rFonts w:hint="eastAsia"/>
          <w:color w:val="000000" w:themeColor="text1"/>
          <w14:textFill>
            <w14:solidFill>
              <w14:schemeClr w14:val="tx1"/>
            </w14:solidFill>
          </w14:textFill>
        </w:rPr>
        <w:t>秉承“以人为本”的管理理念，严格遵守《公司法》</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劳动合同法》等法律法规要求，致力于营造平等、公平、和谐的工作环境。我们建立并实施科学的人事管理制度，保障每位员工的合法权益。根据企业实际的生产经营状况提供有市场竞争力的薪酬福利并合理安排员工的生产和休假</w:t>
      </w:r>
      <w:r>
        <w:rPr>
          <w:rFonts w:hint="eastAsia"/>
          <w:color w:val="000000" w:themeColor="text1"/>
          <w:szCs w:val="24"/>
          <w14:textFill>
            <w14:solidFill>
              <w14:schemeClr w14:val="tx1"/>
            </w14:solidFill>
          </w14:textFill>
        </w:rPr>
        <w:t>。</w:t>
      </w:r>
    </w:p>
    <w:p>
      <w:pPr>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公司高度重视培训工作，积极组织开展多种形式的岗位培训、技能培训、管理培训等，并鼓励和奖励员工自我学习，帮助员工制定职业规划，鼓励员工承担有挑战性的工作，着力打造“学习型”的企业。</w:t>
      </w:r>
    </w:p>
    <w:p>
      <w:pPr>
        <w:ind w:firstLine="241" w:firstLineChars="100"/>
        <w:rPr>
          <w:b/>
          <w:color w:val="000000" w:themeColor="text1"/>
          <w14:textFill>
            <w14:solidFill>
              <w14:schemeClr w14:val="tx1"/>
            </w14:solidFill>
          </w14:textFill>
        </w:rPr>
      </w:pPr>
      <w:r>
        <w:rPr>
          <w:rFonts w:hint="eastAsia"/>
          <w:b/>
          <w:color w:val="000000" w:themeColor="text1"/>
          <w14:textFill>
            <w14:solidFill>
              <w14:schemeClr w14:val="tx1"/>
            </w14:solidFill>
          </w14:textFill>
        </w:rPr>
        <w:t>2</w:t>
      </w:r>
      <w:r>
        <w:rPr>
          <w:b/>
          <w:color w:val="000000" w:themeColor="text1"/>
          <w14:textFill>
            <w14:solidFill>
              <w14:schemeClr w14:val="tx1"/>
            </w14:solidFill>
          </w14:textFill>
        </w:rPr>
        <w:t>. 保障员工健康安全</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为了提高职工的安全意识和自我保护能力，增强安全生产责任心和遵章守纪的自觉性，</w:t>
      </w:r>
      <w:r>
        <w:rPr>
          <w:rFonts w:hint="eastAsia"/>
          <w:color w:val="000000" w:themeColor="text1"/>
          <w:lang w:eastAsia="zh-CN"/>
          <w14:textFill>
            <w14:solidFill>
              <w14:schemeClr w14:val="tx1"/>
            </w14:solidFill>
          </w14:textFill>
        </w:rPr>
        <w:t>天津怀仁</w:t>
      </w:r>
      <w:r>
        <w:rPr>
          <w:rFonts w:hint="eastAsia"/>
          <w:color w:val="000000" w:themeColor="text1"/>
          <w14:textFill>
            <w14:solidFill>
              <w14:schemeClr w14:val="tx1"/>
            </w14:solidFill>
          </w14:textFill>
        </w:rPr>
        <w:t>要求公司各级人员严格按照质量、环境和职业健康安全管理体系的要求执行，从而确保体系的有效实施，提升员工的职业健康安全水平</w:t>
      </w:r>
      <w:r>
        <w:rPr>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rFonts w:hint="eastAsia"/>
          <w:color w:val="auto"/>
        </w:rPr>
        <w:t>人事部门</w:t>
      </w:r>
      <w:r>
        <w:rPr>
          <w:rFonts w:hint="eastAsia"/>
          <w:color w:val="000000" w:themeColor="text1"/>
          <w14:textFill>
            <w14:solidFill>
              <w14:schemeClr w14:val="tx1"/>
            </w14:solidFill>
          </w14:textFill>
        </w:rPr>
        <w:t>为公司的各部门和各岗位人员制定任职要求，组织对应的岗前基础教育，并对培训效果进行评估，实行有效奖惩</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这样能够有效地提升各级员工的安全防护意识和能力。</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为了落实“以质量求生存，以信誉求发展，全员环保</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污染预防，节能降耗，保障健康安全</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减少风险</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遵守法规，持续发展”的方针政策，提升企业应对突发风险事件的能力，降低风险转事故和降低人身伤亡、职业病的发生概率，公司制定了详细的应急响应管理程序和危险源辨识与风险评价控制程序，并配套了相对应的管理制度。根据应急预案的类别可分为火灾和爆炸类、自然灾害类、危险化学品泄漏类、重大设备事故类以及机械伤害类等。</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公司制定了应急准备预防措施，包括（1）办公室对员工的安全环保及响应教育培训。（2）办公室对于消防设施和器材的日常管理和使用维保及检查记录。（3）专业电力技术人员不定期的对全厂电气设备及电力电缆等设备设施进行检查和维护。（4）对于易燃、易爆、有毒有害物质、化学品的仓储管理，公司设置了专用的危废物品储存间，并配有充足的应急准备物资。（5）对于潜在事故和应急情况的重要岗位配备了必要的个人防护用品和应急物资。（6）建立了完善的紧急状态联络办法和与外部机构的联系渠道，门卫室及有关地点留有事故报告电话及负责人姓名。</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同时公司规定应急预案和响应措施实施，要贯彻“预防为主，以人为本”的原则，使紧急状态尽可能不发生，一旦发生紧急事件，现场指挥应按照应急预案规定的措施和步骤组织实施，减少对环境的负面影响，和减少人员伤害财产损失。</w:t>
      </w:r>
    </w:p>
    <w:p>
      <w:pPr>
        <w:ind w:firstLine="241" w:firstLineChars="100"/>
        <w:rPr>
          <w:b/>
          <w:color w:val="000000" w:themeColor="text1"/>
          <w14:textFill>
            <w14:solidFill>
              <w14:schemeClr w14:val="tx1"/>
            </w14:solidFill>
          </w14:textFill>
        </w:rPr>
      </w:pPr>
      <w:r>
        <w:rPr>
          <w:rFonts w:hint="eastAsia"/>
          <w:b/>
          <w:color w:val="000000" w:themeColor="text1"/>
          <w14:textFill>
            <w14:solidFill>
              <w14:schemeClr w14:val="tx1"/>
            </w14:solidFill>
          </w14:textFill>
        </w:rPr>
        <w:t>3</w:t>
      </w:r>
      <w:r>
        <w:rPr>
          <w:b/>
          <w:color w:val="000000" w:themeColor="text1"/>
          <w14:textFill>
            <w14:solidFill>
              <w14:schemeClr w14:val="tx1"/>
            </w14:solidFill>
          </w14:textFill>
        </w:rPr>
        <w:t>. 注重员工培训与发展</w:t>
      </w:r>
      <w:r>
        <w:rPr>
          <w:rFonts w:hint="eastAsia"/>
          <w:b/>
          <w:color w:val="000000" w:themeColor="text1"/>
          <w14:textFill>
            <w14:solidFill>
              <w14:schemeClr w14:val="tx1"/>
            </w14:solidFill>
          </w14:textFill>
        </w:rPr>
        <w:t xml:space="preserve"> </w:t>
      </w:r>
    </w:p>
    <w:p>
      <w:pPr>
        <w:ind w:firstLine="468" w:firstLineChars="195"/>
        <w:rPr>
          <w:color w:val="000000" w:themeColor="text1"/>
          <w14:textFill>
            <w14:solidFill>
              <w14:schemeClr w14:val="tx1"/>
            </w14:solidFill>
          </w14:textFill>
        </w:rPr>
      </w:pPr>
      <w:r>
        <w:rPr>
          <w:color w:val="000000" w:themeColor="text1"/>
          <w14:textFill>
            <w14:solidFill>
              <w14:schemeClr w14:val="tx1"/>
            </w14:solidFill>
          </w14:textFill>
        </w:rPr>
        <w:t>本公司在尊重、信任、爱护的基础上，为员工建立完善的职业生涯通道，重视员工职业技能的提升和综合素质的培养，</w:t>
      </w:r>
      <w:r>
        <w:rPr>
          <w:rFonts w:hint="eastAsia"/>
          <w:color w:val="000000" w:themeColor="text1"/>
          <w14:textFill>
            <w14:solidFill>
              <w14:schemeClr w14:val="tx1"/>
            </w14:solidFill>
          </w14:textFill>
        </w:rPr>
        <w:t>公司办公室根据各部门提出的培训要求以及提高人员素质的需求</w:t>
      </w:r>
      <w:r>
        <w:rPr>
          <w:rFonts w:hint="eastAsia" w:ascii="楷体" w:hAnsi="楷体" w:eastAsia="楷体"/>
          <w:color w:val="000000" w:themeColor="text1"/>
          <w:sz w:val="28"/>
          <w:szCs w:val="28"/>
          <w14:textFill>
            <w14:solidFill>
              <w14:schemeClr w14:val="tx1"/>
            </w14:solidFill>
          </w14:textFill>
        </w:rPr>
        <w:t>。</w:t>
      </w:r>
      <w:r>
        <w:rPr>
          <w:rFonts w:hint="eastAsia"/>
          <w:color w:val="000000" w:themeColor="text1"/>
          <w14:textFill>
            <w14:solidFill>
              <w14:schemeClr w14:val="tx1"/>
            </w14:solidFill>
          </w14:textFill>
        </w:rPr>
        <w:t>于每年底制定下年的《年度培训计划》，报总经理审批后实施。</w:t>
      </w:r>
    </w:p>
    <w:p>
      <w:pPr>
        <w:ind w:firstLine="468" w:firstLineChars="195"/>
        <w:rPr>
          <w:color w:val="000000" w:themeColor="text1"/>
          <w14:textFill>
            <w14:solidFill>
              <w14:schemeClr w14:val="tx1"/>
            </w14:solidFill>
          </w14:textFill>
        </w:rPr>
      </w:pPr>
      <w:r>
        <w:rPr>
          <w:rFonts w:hint="eastAsia"/>
          <w:color w:val="000000" w:themeColor="text1"/>
          <w14:textFill>
            <w14:solidFill>
              <w14:schemeClr w14:val="tx1"/>
            </w14:solidFill>
          </w14:textFill>
        </w:rPr>
        <w:t>培训的内容多种多样，主要分为必要性培训、部门岗位培训和发展性培训三大类。必要性培训主要是为了提高员工的职业素质，使员工对相关法律、方针、政策有更加清晰的认识，理清工作思路，提升必要的工作技能；部门岗位培训是通过专业技能的培训，提高岗位人员的任职能力。而发展性培训是针对管理人员组织不定期的培训，使他们提高学习知识的能力，逐步掌握使用日常生产工具的方法，例如能源平衡的计算、能效评估、清洁生产审核原则等。</w:t>
      </w:r>
    </w:p>
    <w:p>
      <w:pPr>
        <w:ind w:firstLine="468" w:firstLineChars="195"/>
        <w:rPr>
          <w:b/>
          <w:color w:val="000000" w:themeColor="text1"/>
          <w14:textFill>
            <w14:solidFill>
              <w14:schemeClr w14:val="tx1"/>
            </w14:solidFill>
          </w14:textFill>
        </w:rPr>
      </w:pPr>
      <w:r>
        <w:rPr>
          <w:rFonts w:hint="eastAsia"/>
          <w:color w:val="000000" w:themeColor="text1"/>
          <w14:textFill>
            <w14:solidFill>
              <w14:schemeClr w14:val="tx1"/>
            </w14:solidFill>
          </w14:textFill>
        </w:rPr>
        <w:t>需要特别提出的是，针对新员工和转岗员工会进行多种形式的在岗培训</w:t>
      </w:r>
      <w:r>
        <w:rPr>
          <w:color w:val="000000" w:themeColor="text1"/>
          <w14:textFill>
            <w14:solidFill>
              <w14:schemeClr w14:val="tx1"/>
            </w14:solidFill>
          </w14:textFill>
        </w:rPr>
        <w:t>，帮助</w:t>
      </w:r>
      <w:r>
        <w:rPr>
          <w:rFonts w:hint="eastAsia"/>
          <w:color w:val="000000" w:themeColor="text1"/>
          <w14:textFill>
            <w14:solidFill>
              <w14:schemeClr w14:val="tx1"/>
            </w14:solidFill>
          </w14:textFill>
        </w:rPr>
        <w:t>被培训人员</w:t>
      </w:r>
      <w:r>
        <w:rPr>
          <w:color w:val="000000" w:themeColor="text1"/>
          <w14:textFill>
            <w14:solidFill>
              <w14:schemeClr w14:val="tx1"/>
            </w14:solidFill>
          </w14:textFill>
        </w:rPr>
        <w:t>迅速融入岗位，</w:t>
      </w:r>
      <w:r>
        <w:rPr>
          <w:rFonts w:hint="eastAsia"/>
          <w:color w:val="000000" w:themeColor="text1"/>
          <w14:textFill>
            <w14:solidFill>
              <w14:schemeClr w14:val="tx1"/>
            </w14:solidFill>
          </w14:textFill>
        </w:rPr>
        <w:t>打造</w:t>
      </w:r>
      <w:r>
        <w:rPr>
          <w:color w:val="000000" w:themeColor="text1"/>
          <w14:textFill>
            <w14:solidFill>
              <w14:schemeClr w14:val="tx1"/>
            </w14:solidFill>
          </w14:textFill>
        </w:rPr>
        <w:t>和谐稳定的劳资关系，促进员工职业发展，形成良好</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学习氛围。</w:t>
      </w:r>
    </w:p>
    <w:p>
      <w:pPr>
        <w:pStyle w:val="2"/>
        <w:spacing w:before="0" w:after="0" w:line="360" w:lineRule="auto"/>
        <w:ind w:firstLine="0" w:firstLineChars="0"/>
        <w:rPr>
          <w:rFonts w:hint="default" w:eastAsiaTheme="minorEastAsia"/>
          <w:sz w:val="28"/>
          <w:szCs w:val="28"/>
          <w:lang w:val="en-US" w:eastAsia="zh-CN"/>
        </w:rPr>
      </w:pPr>
      <w:bookmarkStart w:id="3" w:name="_Toc8629"/>
      <w:r>
        <w:rPr>
          <w:rFonts w:hint="eastAsia"/>
          <w:sz w:val="28"/>
          <w:szCs w:val="28"/>
        </w:rPr>
        <w:t xml:space="preserve">第三章 </w:t>
      </w:r>
      <w:bookmarkEnd w:id="3"/>
      <w:r>
        <w:rPr>
          <w:rFonts w:hint="eastAsia"/>
          <w:sz w:val="28"/>
          <w:szCs w:val="28"/>
          <w:lang w:val="en-US" w:eastAsia="zh-CN"/>
        </w:rPr>
        <w:t>可持续采购</w:t>
      </w:r>
    </w:p>
    <w:p>
      <w:pPr>
        <w:ind w:firstLine="480"/>
        <w:rPr>
          <w:rFonts w:hint="eastAsia"/>
          <w:lang w:eastAsia="zh-CN"/>
        </w:rPr>
      </w:pPr>
      <w:r>
        <w:rPr>
          <w:rFonts w:hint="eastAsia"/>
          <w:lang w:eastAsia="zh-CN"/>
        </w:rPr>
        <w:t>天津怀仁</w:t>
      </w:r>
      <w:r>
        <w:t>与供</w:t>
      </w:r>
      <w:r>
        <w:rPr>
          <w:rFonts w:hint="eastAsia"/>
        </w:rPr>
        <w:t>方</w:t>
      </w:r>
      <w:r>
        <w:t>坚持“相互尊重、平等互利、合作共赢”的准则，积极构建与供</w:t>
      </w:r>
      <w:r>
        <w:rPr>
          <w:rFonts w:hint="eastAsia"/>
        </w:rPr>
        <w:t>方</w:t>
      </w:r>
      <w:r>
        <w:t>的战略合作伙伴关系，共同构筑信任与发展的平台。</w:t>
      </w:r>
      <w:r>
        <w:br w:type="textWrapping"/>
      </w:r>
      <w:r>
        <w:rPr>
          <w:rFonts w:hint="eastAsia"/>
          <w:lang w:val="en-US" w:eastAsia="zh-CN"/>
        </w:rPr>
        <w:t xml:space="preserve">    天津怀仁</w:t>
      </w:r>
      <w:r>
        <w:rPr>
          <w:rFonts w:hint="eastAsia"/>
        </w:rPr>
        <w:t>重视供应链的管理，将企业社会责任表现作为选择供应商的重要评价标准，在供应商评审、绩效评估和采购决策等环节加大企业社会责任权重，不断深化与供应链伙伴的合作，并通过采购业务引导供应商提升履责能力，降低供应风险，</w:t>
      </w:r>
      <w:r>
        <w:rPr>
          <w:rFonts w:hint="eastAsia"/>
          <w:lang w:val="en-US" w:eastAsia="zh-CN"/>
        </w:rPr>
        <w:t>减少碳排放，</w:t>
      </w:r>
      <w:r>
        <w:rPr>
          <w:rFonts w:hint="eastAsia"/>
        </w:rPr>
        <w:t>提升客户满意度和供应链竞争力。公司还积极参与行业合作和行业标准化，将社会责任作为基本要求，融入产品及其价值链运作，通过社会责任创新提升企业及供应链的竞争力</w:t>
      </w:r>
      <w:r>
        <w:rPr>
          <w:rFonts w:hint="eastAsia"/>
          <w:lang w:eastAsia="zh-CN"/>
        </w:rPr>
        <w:t>。</w:t>
      </w:r>
    </w:p>
    <w:p>
      <w:pPr>
        <w:ind w:firstLine="480"/>
        <w:rPr>
          <w:rFonts w:hint="eastAsia"/>
          <w:color w:val="FF0000"/>
          <w:lang w:eastAsia="zh-CN"/>
        </w:rPr>
      </w:pPr>
      <w:r>
        <w:rPr>
          <w:rFonts w:hint="eastAsia"/>
          <w:color w:val="auto"/>
          <w:lang w:eastAsia="zh-CN"/>
        </w:rPr>
        <w:t>一、可持续采购目标</w:t>
      </w:r>
      <w:r>
        <w:rPr>
          <w:rFonts w:hint="eastAsia"/>
          <w:color w:val="FF0000"/>
          <w:lang w:eastAsia="zh-CN"/>
        </w:rPr>
        <w:t xml:space="preserve"> </w:t>
      </w:r>
    </w:p>
    <w:p>
      <w:pPr>
        <w:ind w:firstLine="480"/>
        <w:rPr>
          <w:rFonts w:hint="eastAsia"/>
          <w:color w:val="auto"/>
          <w:lang w:eastAsia="zh-CN"/>
        </w:rPr>
      </w:pPr>
      <w:r>
        <w:rPr>
          <w:rFonts w:hint="eastAsia"/>
          <w:color w:val="auto"/>
          <w:lang w:eastAsia="zh-CN"/>
        </w:rPr>
        <w:t>1、主要供应商行为守则签署100%；</w:t>
      </w:r>
    </w:p>
    <w:p>
      <w:pPr>
        <w:ind w:firstLine="480"/>
        <w:rPr>
          <w:rFonts w:hint="eastAsia"/>
          <w:color w:val="auto"/>
          <w:lang w:eastAsia="zh-CN"/>
        </w:rPr>
      </w:pPr>
      <w:r>
        <w:rPr>
          <w:rFonts w:hint="eastAsia"/>
          <w:color w:val="auto"/>
          <w:lang w:eastAsia="zh-CN"/>
        </w:rPr>
        <w:t>2、原料质量、环保、安全100%符合要求；</w:t>
      </w:r>
    </w:p>
    <w:p>
      <w:pPr>
        <w:ind w:firstLine="480"/>
        <w:rPr>
          <w:rFonts w:hint="eastAsia"/>
          <w:color w:val="auto"/>
          <w:lang w:eastAsia="zh-CN"/>
        </w:rPr>
      </w:pPr>
      <w:r>
        <w:rPr>
          <w:rFonts w:hint="eastAsia"/>
          <w:color w:val="auto"/>
          <w:lang w:eastAsia="zh-CN"/>
        </w:rPr>
        <w:t>3、合格供应商调查评估率100%；</w:t>
      </w:r>
    </w:p>
    <w:p>
      <w:pPr>
        <w:ind w:firstLine="480"/>
        <w:rPr>
          <w:rFonts w:hint="eastAsia"/>
          <w:color w:val="auto"/>
          <w:lang w:eastAsia="zh-CN"/>
        </w:rPr>
      </w:pPr>
      <w:r>
        <w:rPr>
          <w:rFonts w:hint="eastAsia"/>
          <w:color w:val="auto"/>
          <w:lang w:eastAsia="zh-CN"/>
        </w:rPr>
        <w:t xml:space="preserve">二、可持续采购措施 </w:t>
      </w:r>
    </w:p>
    <w:p>
      <w:pPr>
        <w:ind w:left="0" w:leftChars="0" w:firstLine="480" w:firstLineChars="200"/>
        <w:rPr>
          <w:rFonts w:hint="eastAsia"/>
          <w:color w:val="auto"/>
          <w:lang w:eastAsia="zh-CN"/>
        </w:rPr>
      </w:pPr>
      <w:r>
        <w:rPr>
          <w:rFonts w:hint="eastAsia"/>
          <w:color w:val="auto"/>
          <w:lang w:eastAsia="zh-CN"/>
        </w:rPr>
        <w:t>为做好供应链的责任管理，我们建立了供应商社会责任管理体系，制定了《生产物资采购管理办法》、《供应商现场考察评价管理办法》等规章制度。我们与固定供应商、关键供应商建立了长期战略合作关系，签订了廉洁协议、保密协议及带社会责任要求的采购协议等，推动供应商持续合规合法经营。</w:t>
      </w:r>
    </w:p>
    <w:p>
      <w:pPr>
        <w:ind w:left="0" w:leftChars="0" w:firstLine="480" w:firstLineChars="200"/>
        <w:rPr>
          <w:rFonts w:hint="eastAsia"/>
          <w:color w:val="auto"/>
          <w:lang w:eastAsia="zh-CN"/>
        </w:rPr>
      </w:pPr>
      <w:r>
        <w:rPr>
          <w:rFonts w:hint="eastAsia"/>
          <w:color w:val="auto"/>
          <w:lang w:eastAsia="zh-CN"/>
        </w:rPr>
        <w:t>对新供应商的引入进行严格评价、筛选，在环境、社会、商业道德方面表现优秀，且获得 ISO14001、ISO45001等管理体系认证证书的供应商，在入选公司合格供应商时具有优先权。</w:t>
      </w:r>
    </w:p>
    <w:p>
      <w:pPr>
        <w:ind w:left="0" w:leftChars="0" w:firstLine="480" w:firstLineChars="200"/>
        <w:rPr>
          <w:rFonts w:hint="default"/>
          <w:color w:val="FF0000"/>
          <w:highlight w:val="none"/>
          <w:lang w:val="en-US" w:eastAsia="zh-CN"/>
        </w:rPr>
      </w:pPr>
      <w:r>
        <w:rPr>
          <w:rFonts w:hint="eastAsia"/>
          <w:color w:val="auto"/>
          <w:highlight w:val="none"/>
          <w:lang w:eastAsia="zh-CN"/>
        </w:rPr>
        <w:t>2024年，我们通过全面评估，共选出10家</w:t>
      </w:r>
      <w:r>
        <w:rPr>
          <w:rFonts w:hint="eastAsia"/>
          <w:color w:val="auto"/>
          <w:highlight w:val="none"/>
          <w:lang w:val="en-US" w:eastAsia="zh-CN"/>
        </w:rPr>
        <w:t>新</w:t>
      </w:r>
      <w:r>
        <w:rPr>
          <w:rFonts w:hint="eastAsia"/>
          <w:color w:val="auto"/>
          <w:highlight w:val="none"/>
          <w:lang w:eastAsia="zh-CN"/>
        </w:rPr>
        <w:t>供应商进入公司合格供方名录。</w:t>
      </w:r>
      <w:r>
        <w:rPr>
          <w:rFonts w:hint="eastAsia"/>
          <w:color w:val="auto"/>
          <w:highlight w:val="none"/>
          <w:lang w:val="en-US" w:eastAsia="zh-CN"/>
        </w:rPr>
        <w:t>共对8家供应商实施了绩效评价。</w:t>
      </w:r>
    </w:p>
    <w:p>
      <w:pPr>
        <w:pStyle w:val="2"/>
        <w:spacing w:before="0" w:after="0" w:line="360" w:lineRule="auto"/>
        <w:ind w:firstLine="0" w:firstLineChars="0"/>
        <w:rPr>
          <w:sz w:val="28"/>
          <w:szCs w:val="28"/>
        </w:rPr>
      </w:pPr>
      <w:bookmarkStart w:id="4" w:name="_Toc4456"/>
      <w:r>
        <w:rPr>
          <w:rFonts w:hint="eastAsia"/>
          <w:sz w:val="28"/>
          <w:szCs w:val="28"/>
        </w:rPr>
        <w:t xml:space="preserve">第四章 </w:t>
      </w:r>
      <w:r>
        <w:rPr>
          <w:sz w:val="28"/>
          <w:szCs w:val="28"/>
        </w:rPr>
        <w:t>客户权益维护及产品质量控制</w:t>
      </w:r>
      <w:bookmarkEnd w:id="4"/>
    </w:p>
    <w:p>
      <w:pPr>
        <w:ind w:firstLine="480"/>
      </w:pPr>
      <w:r>
        <w:rPr>
          <w:rFonts w:hint="eastAsia"/>
          <w:lang w:eastAsia="zh-CN"/>
        </w:rPr>
        <w:t>天津怀仁</w:t>
      </w:r>
      <w:r>
        <w:rPr>
          <w:rFonts w:hint="eastAsia"/>
        </w:rPr>
        <w:t>始终以诚信为本，为客户提供优质的产品并不断提升服务品质，切实维护客户的合法权益。</w:t>
      </w:r>
    </w:p>
    <w:p>
      <w:pPr>
        <w:ind w:firstLine="480"/>
        <w:rPr>
          <w:rFonts w:cs="Times New Roman"/>
        </w:rPr>
      </w:pPr>
      <w:r>
        <w:rPr>
          <w:rFonts w:hint="eastAsia" w:cs="Times New Roman"/>
          <w:lang w:eastAsia="zh-CN"/>
        </w:rPr>
        <w:t>天津怀仁</w:t>
      </w:r>
      <w:r>
        <w:rPr>
          <w:rFonts w:cs="Times New Roman"/>
        </w:rPr>
        <w:t>建立</w:t>
      </w:r>
      <w:r>
        <w:rPr>
          <w:rFonts w:hint="eastAsia" w:cs="Times New Roman"/>
        </w:rPr>
        <w:t>有</w:t>
      </w:r>
      <w:r>
        <w:rPr>
          <w:rFonts w:cs="Times New Roman"/>
        </w:rPr>
        <w:t>质量、环境</w:t>
      </w:r>
      <w:r>
        <w:rPr>
          <w:rFonts w:hint="eastAsia" w:cs="Times New Roman"/>
        </w:rPr>
        <w:t>、</w:t>
      </w:r>
      <w:r>
        <w:rPr>
          <w:rFonts w:cs="Times New Roman"/>
        </w:rPr>
        <w:t>职业健康</w:t>
      </w:r>
      <w:r>
        <w:rPr>
          <w:rFonts w:hint="eastAsia" w:cs="Times New Roman"/>
        </w:rPr>
        <w:t>及</w:t>
      </w:r>
      <w:r>
        <w:rPr>
          <w:rFonts w:cs="Times New Roman"/>
        </w:rPr>
        <w:t>能源管理体系，定期开展内审和管理评审，并按照要求进行监督审核。</w:t>
      </w:r>
    </w:p>
    <w:p>
      <w:pPr>
        <w:ind w:firstLine="241" w:firstLineChars="100"/>
      </w:pPr>
      <w:r>
        <w:rPr>
          <w:rFonts w:hint="eastAsia" w:cs="Times New Roman"/>
          <w:b/>
        </w:rPr>
        <w:t>1</w:t>
      </w:r>
      <w:r>
        <w:rPr>
          <w:rFonts w:cs="Times New Roman"/>
          <w:b/>
        </w:rPr>
        <w:t>. 质量管理体系</w:t>
      </w:r>
    </w:p>
    <w:p>
      <w:pPr>
        <w:ind w:firstLine="480"/>
      </w:pPr>
      <w:r>
        <w:t>本公司</w:t>
      </w:r>
      <w:r>
        <w:rPr>
          <w:rFonts w:hint="eastAsia"/>
        </w:rPr>
        <w:t>始终遵循既定的</w:t>
      </w:r>
      <w:r>
        <w:t>质量方针，</w:t>
      </w:r>
      <w:r>
        <w:rPr>
          <w:rFonts w:hint="eastAsia"/>
        </w:rPr>
        <w:t>针对</w:t>
      </w:r>
      <w:r>
        <w:t>关键绩效目标和指标，在相应职能</w:t>
      </w:r>
      <w:r>
        <w:rPr>
          <w:rFonts w:hint="eastAsia"/>
        </w:rPr>
        <w:t>岗位</w:t>
      </w:r>
      <w:r>
        <w:t>和层次上进行</w:t>
      </w:r>
      <w:r>
        <w:rPr>
          <w:rFonts w:hint="eastAsia"/>
        </w:rPr>
        <w:t>有效</w:t>
      </w:r>
      <w:r>
        <w:t>分解</w:t>
      </w:r>
      <w:r>
        <w:rPr>
          <w:rFonts w:hint="eastAsia"/>
        </w:rPr>
        <w:t>，严格管控。质量管理体系</w:t>
      </w:r>
      <w:r>
        <w:t>明确产品的质量目标和要求，文件和资源的</w:t>
      </w:r>
      <w:r>
        <w:rPr>
          <w:rFonts w:hint="eastAsia"/>
        </w:rPr>
        <w:t>管理要</w:t>
      </w:r>
      <w:r>
        <w:t>求，过程</w:t>
      </w:r>
      <w:r>
        <w:rPr>
          <w:rFonts w:hint="eastAsia"/>
        </w:rPr>
        <w:t>管理</w:t>
      </w:r>
      <w:r>
        <w:t>和服务监视测量以及</w:t>
      </w:r>
      <w:r>
        <w:rPr>
          <w:rFonts w:hint="eastAsia"/>
        </w:rPr>
        <w:t>材料</w:t>
      </w:r>
      <w:r>
        <w:t>接收准则。确保能够按照策划的要求对产品生产过程以及</w:t>
      </w:r>
      <w:r>
        <w:rPr>
          <w:rFonts w:hint="eastAsia"/>
        </w:rPr>
        <w:t>外供方供货</w:t>
      </w:r>
      <w:r>
        <w:t>过程进行有效控制。</w:t>
      </w:r>
    </w:p>
    <w:p>
      <w:pPr>
        <w:ind w:firstLine="480"/>
        <w:rPr>
          <w:b/>
          <w:color w:val="auto"/>
        </w:rPr>
      </w:pPr>
      <w:r>
        <w:rPr>
          <w:rFonts w:hint="eastAsia"/>
        </w:rPr>
        <w:t>我们</w:t>
      </w:r>
      <w:r>
        <w:t>取得</w:t>
      </w:r>
      <w:r>
        <w:rPr>
          <w:rFonts w:hint="eastAsia"/>
        </w:rPr>
        <w:t>质量管理体系</w:t>
      </w:r>
      <w:r>
        <w:t>认证证书，管理体系符合</w:t>
      </w:r>
      <w:r>
        <w:rPr>
          <w:rFonts w:hint="eastAsia"/>
          <w:color w:val="auto"/>
        </w:rPr>
        <w:t>《</w:t>
      </w:r>
      <w:r>
        <w:rPr>
          <w:rFonts w:hint="eastAsia"/>
          <w:color w:val="auto"/>
          <w:lang w:val="en-US" w:eastAsia="zh-CN"/>
        </w:rPr>
        <w:t>质量</w:t>
      </w:r>
      <w:r>
        <w:rPr>
          <w:color w:val="auto"/>
        </w:rPr>
        <w:t>管理体系</w:t>
      </w:r>
      <w:r>
        <w:rPr>
          <w:rFonts w:hint="eastAsia"/>
          <w:color w:val="auto"/>
          <w:lang w:eastAsia="zh-CN"/>
        </w:rPr>
        <w:t>要求</w:t>
      </w:r>
      <w:r>
        <w:rPr>
          <w:rFonts w:hint="eastAsia"/>
          <w:color w:val="auto"/>
        </w:rPr>
        <w:t>》</w:t>
      </w:r>
      <w:r>
        <w:rPr>
          <w:color w:val="auto"/>
        </w:rPr>
        <w:t>。</w:t>
      </w:r>
    </w:p>
    <w:p>
      <w:pPr>
        <w:ind w:firstLine="241" w:firstLineChars="100"/>
        <w:rPr>
          <w:b/>
        </w:rPr>
      </w:pPr>
      <w:r>
        <w:rPr>
          <w:rFonts w:hint="eastAsia"/>
          <w:b/>
        </w:rPr>
        <w:t>2</w:t>
      </w:r>
      <w:r>
        <w:rPr>
          <w:b/>
        </w:rPr>
        <w:t xml:space="preserve">. </w:t>
      </w:r>
      <w:r>
        <w:rPr>
          <w:rFonts w:hint="eastAsia"/>
          <w:b/>
        </w:rPr>
        <w:t>能源</w:t>
      </w:r>
      <w:r>
        <w:rPr>
          <w:b/>
        </w:rPr>
        <w:t>管理体系</w:t>
      </w:r>
    </w:p>
    <w:p>
      <w:pPr>
        <w:ind w:firstLine="480" w:firstLineChars="0"/>
        <w:rPr>
          <w:lang w:val="zh-CN"/>
        </w:rPr>
      </w:pPr>
      <w:r>
        <w:t>本公司建立</w:t>
      </w:r>
      <w:r>
        <w:rPr>
          <w:rFonts w:hint="eastAsia"/>
        </w:rPr>
        <w:t>能源管理</w:t>
      </w:r>
      <w:r>
        <w:t>体系，</w:t>
      </w:r>
      <w:r>
        <w:rPr>
          <w:lang w:val="zh-CN"/>
        </w:rPr>
        <w:t>确定公司能源管理方针</w:t>
      </w:r>
      <w:r>
        <w:rPr>
          <w:rFonts w:hint="eastAsia"/>
          <w:lang w:val="zh-CN"/>
        </w:rPr>
        <w:t>、</w:t>
      </w:r>
      <w:r>
        <w:rPr>
          <w:lang w:val="zh-CN"/>
        </w:rPr>
        <w:t>能源</w:t>
      </w:r>
      <w:r>
        <w:rPr>
          <w:rFonts w:hint="eastAsia"/>
        </w:rPr>
        <w:t>目标与指标，</w:t>
      </w:r>
      <w:r>
        <w:t>并在相应职能</w:t>
      </w:r>
      <w:r>
        <w:rPr>
          <w:rFonts w:hint="eastAsia"/>
        </w:rPr>
        <w:t>岗位</w:t>
      </w:r>
      <w:r>
        <w:t>和层次上进行分解</w:t>
      </w:r>
      <w:r>
        <w:rPr>
          <w:rFonts w:hint="eastAsia"/>
        </w:rPr>
        <w:t>，严格</w:t>
      </w:r>
      <w:r>
        <w:rPr>
          <w:lang w:val="zh-CN"/>
        </w:rPr>
        <w:t>控制</w:t>
      </w:r>
      <w:r>
        <w:rPr>
          <w:rFonts w:hint="eastAsia"/>
          <w:lang w:val="zh-CN"/>
        </w:rPr>
        <w:t>公司</w:t>
      </w:r>
      <w:r>
        <w:rPr>
          <w:lang w:val="zh-CN"/>
        </w:rPr>
        <w:t>活动、产品和服务对能源绩效的影响，采用系统的方法来实现能源目标</w:t>
      </w:r>
      <w:r>
        <w:rPr>
          <w:rFonts w:hint="eastAsia"/>
          <w:lang w:val="zh-CN"/>
        </w:rPr>
        <w:t>与指标</w:t>
      </w:r>
      <w:r>
        <w:rPr>
          <w:lang w:val="zh-CN"/>
        </w:rPr>
        <w:t>，包括</w:t>
      </w:r>
      <w:r>
        <w:rPr>
          <w:rFonts w:hint="eastAsia" w:ascii="宋体" w:hAnsi="宋体"/>
          <w:snapToGrid w:val="0"/>
          <w:szCs w:val="24"/>
        </w:rPr>
        <w:t>能源效率、能源使用和能源消耗</w:t>
      </w:r>
      <w:r>
        <w:rPr>
          <w:lang w:val="zh-CN"/>
        </w:rPr>
        <w:t>的持续改进</w:t>
      </w:r>
      <w:r>
        <w:rPr>
          <w:rFonts w:hint="eastAsia"/>
          <w:lang w:val="zh-CN"/>
        </w:rPr>
        <w:t>。</w:t>
      </w:r>
    </w:p>
    <w:p>
      <w:pPr>
        <w:ind w:firstLine="480" w:firstLineChars="0"/>
        <w:rPr>
          <w:color w:val="FF0000"/>
          <w:lang w:val="zh-CN"/>
        </w:rPr>
      </w:pPr>
      <w:r>
        <w:rPr>
          <w:rFonts w:hint="eastAsia"/>
          <w:lang w:val="zh-CN"/>
        </w:rPr>
        <w:t>我们</w:t>
      </w:r>
      <w:r>
        <w:rPr>
          <w:lang w:val="zh-CN"/>
        </w:rPr>
        <w:t>取得</w:t>
      </w:r>
      <w:r>
        <w:rPr>
          <w:rFonts w:hint="eastAsia"/>
          <w:lang w:val="zh-CN"/>
        </w:rPr>
        <w:t>能源管理</w:t>
      </w:r>
      <w:r>
        <w:rPr>
          <w:lang w:val="zh-CN"/>
        </w:rPr>
        <w:t>体系认证证书，</w:t>
      </w:r>
      <w:r>
        <w:rPr>
          <w:rFonts w:hint="eastAsia"/>
          <w:lang w:val="zh-CN"/>
        </w:rPr>
        <w:t>管理</w:t>
      </w:r>
      <w:r>
        <w:rPr>
          <w:lang w:val="zh-CN"/>
        </w:rPr>
        <w:t>体系符合</w:t>
      </w:r>
      <w:r>
        <w:rPr>
          <w:rFonts w:hint="eastAsia"/>
          <w:lang w:val="zh-CN"/>
        </w:rPr>
        <w:t>G</w:t>
      </w:r>
      <w:r>
        <w:rPr>
          <w:lang w:val="zh-CN"/>
        </w:rPr>
        <w:t>B/T23331:2020/</w:t>
      </w:r>
      <w:r>
        <w:rPr>
          <w:rFonts w:hint="eastAsia"/>
        </w:rPr>
        <w:t>ISO 50001:2018能源管理体系认证要求</w:t>
      </w:r>
      <w:r>
        <w:rPr>
          <w:rFonts w:hint="eastAsia"/>
          <w:color w:val="FF0000"/>
          <w:lang w:val="zh-CN"/>
        </w:rPr>
        <w:t>。</w:t>
      </w:r>
    </w:p>
    <w:p>
      <w:pPr>
        <w:ind w:firstLine="241" w:firstLineChars="100"/>
        <w:rPr>
          <w:b/>
        </w:rPr>
      </w:pPr>
      <w:r>
        <w:rPr>
          <w:rFonts w:hint="eastAsia"/>
          <w:b/>
        </w:rPr>
        <w:t>3</w:t>
      </w:r>
      <w:r>
        <w:rPr>
          <w:b/>
        </w:rPr>
        <w:t>. 环境管理体系</w:t>
      </w:r>
    </w:p>
    <w:p>
      <w:pPr>
        <w:ind w:firstLine="480"/>
        <w:rPr>
          <w:rFonts w:cs="Times New Roman"/>
        </w:rPr>
      </w:pPr>
      <w:r>
        <w:rPr>
          <w:rFonts w:hint="eastAsia" w:cs="Times New Roman"/>
        </w:rPr>
        <w:t>公司高度认同持续经营管理的价值和必要性，我们要为企业提供充足的物质发展基础，同时不能贻害后代子孙，要让他们能够享受我们今天同等的物质资源。我们承诺，尽量减少对环境的影响：</w:t>
      </w:r>
    </w:p>
    <w:p>
      <w:pPr>
        <w:ind w:firstLine="480"/>
        <w:rPr>
          <w:rFonts w:cs="Times New Roman"/>
        </w:rPr>
      </w:pPr>
      <w:r>
        <w:rPr>
          <w:rFonts w:hint="eastAsia" w:cs="Times New Roman"/>
        </w:rPr>
        <w:t>1）遵守所有适用的环境政策和法规的要求；</w:t>
      </w:r>
    </w:p>
    <w:p>
      <w:pPr>
        <w:ind w:firstLine="480"/>
        <w:rPr>
          <w:rFonts w:cs="Times New Roman"/>
        </w:rPr>
      </w:pPr>
      <w:r>
        <w:rPr>
          <w:rFonts w:hint="eastAsia" w:cs="Times New Roman"/>
        </w:rPr>
        <w:t>2）在生产活动中实施并维持符合ISO14001相关外部认证标准；</w:t>
      </w:r>
    </w:p>
    <w:p>
      <w:pPr>
        <w:ind w:firstLine="480"/>
        <w:rPr>
          <w:rFonts w:cs="Times New Roman"/>
        </w:rPr>
      </w:pPr>
      <w:r>
        <w:rPr>
          <w:rFonts w:hint="eastAsia" w:cs="Times New Roman"/>
        </w:rPr>
        <w:t>3）在目标和指标的指引下，持续改善环境，减小对环境的影响；</w:t>
      </w:r>
    </w:p>
    <w:p>
      <w:pPr>
        <w:ind w:firstLine="480"/>
        <w:rPr>
          <w:rFonts w:cs="Times New Roman"/>
        </w:rPr>
      </w:pPr>
      <w:r>
        <w:rPr>
          <w:rFonts w:hint="eastAsia" w:cs="Times New Roman"/>
        </w:rPr>
        <w:t>4）在生产活动中，通过减少化学品的使用、减少废物排放，调整回收利用并处理废弃物的方式，以达到减小对土地、空气和水源污染的目的；</w:t>
      </w:r>
    </w:p>
    <w:p>
      <w:pPr>
        <w:ind w:firstLine="480"/>
        <w:rPr>
          <w:rFonts w:cs="Times New Roman"/>
        </w:rPr>
      </w:pPr>
      <w:r>
        <w:rPr>
          <w:rFonts w:hint="eastAsia" w:cs="Times New Roman"/>
        </w:rPr>
        <w:t>5）传播我们的环境方针，使我们的员工及合作伙伴持续关注对环境的影响、履行各自的义务；</w:t>
      </w:r>
    </w:p>
    <w:p>
      <w:pPr>
        <w:ind w:firstLine="480"/>
        <w:rPr>
          <w:rFonts w:cs="Times New Roman"/>
        </w:rPr>
      </w:pPr>
      <w:r>
        <w:rPr>
          <w:rFonts w:hint="eastAsia" w:cs="Times New Roman"/>
        </w:rPr>
        <w:t>6）教育和培训员工有关环境保护的知识，鼓励其参与到环保活动中去。</w:t>
      </w:r>
    </w:p>
    <w:p>
      <w:pPr>
        <w:ind w:firstLine="480"/>
        <w:rPr>
          <w:rFonts w:cs="Times New Roman"/>
        </w:rPr>
      </w:pPr>
      <w:r>
        <w:rPr>
          <w:rFonts w:hint="eastAsia" w:cs="Times New Roman"/>
        </w:rPr>
        <w:t>7）定期回顾我们的环境方针，不断调整内容，使我们的方针政策与外部环境保护政策相适应，不断完善我们的环境管理体系。</w:t>
      </w:r>
    </w:p>
    <w:p>
      <w:pPr>
        <w:ind w:firstLine="480"/>
        <w:rPr>
          <w:rFonts w:cs="Times New Roman"/>
        </w:rPr>
      </w:pPr>
      <w:r>
        <w:rPr>
          <w:rFonts w:hint="eastAsia" w:cs="Times New Roman"/>
        </w:rPr>
        <w:t>我们</w:t>
      </w:r>
      <w:r>
        <w:rPr>
          <w:rFonts w:cs="Times New Roman"/>
        </w:rPr>
        <w:t>取得</w:t>
      </w:r>
      <w:r>
        <w:rPr>
          <w:rFonts w:hint="eastAsia" w:cs="Times New Roman"/>
        </w:rPr>
        <w:t>国际标准ISO14001</w:t>
      </w:r>
      <w:r>
        <w:rPr>
          <w:rFonts w:cs="Times New Roman"/>
        </w:rPr>
        <w:t>环境管理体系认证证书</w:t>
      </w:r>
      <w:r>
        <w:rPr>
          <w:rFonts w:hint="eastAsia" w:cs="Times New Roman"/>
        </w:rPr>
        <w:t>。</w:t>
      </w:r>
    </w:p>
    <w:p>
      <w:pPr>
        <w:ind w:firstLine="241" w:firstLineChars="100"/>
        <w:rPr>
          <w:b/>
        </w:rPr>
      </w:pPr>
      <w:r>
        <w:rPr>
          <w:rFonts w:hint="eastAsia"/>
          <w:b/>
        </w:rPr>
        <w:t>4.</w:t>
      </w:r>
      <w:r>
        <w:rPr>
          <w:b/>
        </w:rPr>
        <w:t>职业健康安全管理体系</w:t>
      </w:r>
    </w:p>
    <w:p>
      <w:pPr>
        <w:ind w:firstLine="480"/>
        <w:rPr>
          <w:rFonts w:cs="Times New Roman"/>
        </w:rPr>
      </w:pPr>
      <w:r>
        <w:rPr>
          <w:rFonts w:hint="eastAsia" w:cs="Times New Roman"/>
        </w:rPr>
        <w:t>公司竭力为所有员工提供一个安全的工作环境，使员工免受来自工作上的伤害、降低员工患职业病的概率。公司建立相应的职业健康和安全保护措施、制度和程序，办公室负责员工健康安全的培训管理工作；并对工作区域内涉及员工安全与健康的危害点进行监控；</w:t>
      </w:r>
    </w:p>
    <w:p>
      <w:pPr>
        <w:ind w:firstLine="480"/>
        <w:rPr>
          <w:rFonts w:cs="Times New Roman"/>
        </w:rPr>
      </w:pPr>
      <w:r>
        <w:rPr>
          <w:rFonts w:hint="eastAsia" w:cs="Times New Roman"/>
        </w:rPr>
        <w:t>公司努力保护每一位员工的健康安全，这是员工应得的权利；同时遵守健康安全相关制度也是每个员工应尽的义务，这也体现了员工对企业负责的态度。所以公司鼓励每个员工为自己的健康负责，严格按照职业健康安全管理体系的要求执行。</w:t>
      </w:r>
    </w:p>
    <w:p>
      <w:pPr>
        <w:ind w:firstLine="480"/>
        <w:rPr>
          <w:rFonts w:cs="Times New Roman"/>
        </w:rPr>
      </w:pPr>
      <w:r>
        <w:rPr>
          <w:rFonts w:hint="eastAsia" w:cs="Times New Roman"/>
        </w:rPr>
        <w:t>公司顺利通过ISO45001:2018标准认证并获得《职业健康安全管理体系认证证书》。</w:t>
      </w:r>
    </w:p>
    <w:p>
      <w:pPr>
        <w:pStyle w:val="2"/>
        <w:spacing w:before="0" w:after="0" w:line="360" w:lineRule="auto"/>
        <w:ind w:firstLine="0" w:firstLineChars="0"/>
        <w:rPr>
          <w:sz w:val="28"/>
          <w:szCs w:val="28"/>
        </w:rPr>
      </w:pPr>
      <w:bookmarkStart w:id="5" w:name="_Toc8586"/>
      <w:r>
        <w:rPr>
          <w:rFonts w:hint="eastAsia"/>
          <w:sz w:val="28"/>
          <w:szCs w:val="28"/>
        </w:rPr>
        <w:t xml:space="preserve">第五章 </w:t>
      </w:r>
      <w:r>
        <w:rPr>
          <w:sz w:val="28"/>
          <w:szCs w:val="28"/>
        </w:rPr>
        <w:t>环境保护和可持续发展</w:t>
      </w:r>
      <w:bookmarkEnd w:id="5"/>
    </w:p>
    <w:p>
      <w:pPr>
        <w:ind w:firstLine="480"/>
        <w:rPr>
          <w:rFonts w:cs="Times New Roman"/>
        </w:rPr>
      </w:pPr>
      <w:r>
        <w:rPr>
          <w:rFonts w:hint="eastAsia"/>
          <w:lang w:val="en-US" w:eastAsia="zh-CN"/>
        </w:rPr>
        <w:t>我公司</w:t>
      </w:r>
      <w:r>
        <w:rPr>
          <w:rFonts w:hint="eastAsia"/>
        </w:rPr>
        <w:t>坚持可持续发展战略，实施清洁生产，发展绿色制造，合理利用能源资源，达标排放，节能降耗，追求与自然、社会的和谐发展，用实际行动，创造更加清洁的环境。公司建立了完善的节能环保制度。</w:t>
      </w:r>
    </w:p>
    <w:p>
      <w:pPr>
        <w:ind w:firstLine="241" w:firstLineChars="100"/>
        <w:rPr>
          <w:rFonts w:cs="Times New Roman"/>
          <w:b/>
        </w:rPr>
      </w:pPr>
      <w:r>
        <w:rPr>
          <w:rFonts w:hint="eastAsia" w:cs="Times New Roman"/>
          <w:b/>
        </w:rPr>
        <w:t>1. 环境保护和节能减排理念</w:t>
      </w:r>
    </w:p>
    <w:p>
      <w:pPr>
        <w:widowControl/>
        <w:ind w:firstLine="480"/>
        <w:jc w:val="left"/>
        <w:rPr>
          <w:rFonts w:hint="eastAsia" w:cs="Times New Roman"/>
        </w:rPr>
      </w:pPr>
      <w:r>
        <w:rPr>
          <w:rFonts w:hint="eastAsia" w:cs="Times New Roman"/>
          <w:lang w:val="en-US" w:eastAsia="zh-CN"/>
        </w:rPr>
        <w:t>我</w:t>
      </w:r>
      <w:r>
        <w:rPr>
          <w:rFonts w:hint="eastAsia" w:cs="Times New Roman"/>
        </w:rPr>
        <w:t>公司非常重视环境管理工作，严格执行国家环保法律、法规、标准和地方政府相关环保要求，制定了环境管理方针，建立了高效的环境管理体系，并通过 ISO14001 环境管理体系认证。公司组建了环境管理领导小组，完善了EHS管理职能，配置专职环保管理人员。</w:t>
      </w:r>
    </w:p>
    <w:p>
      <w:pPr>
        <w:widowControl/>
        <w:ind w:firstLine="480"/>
        <w:jc w:val="left"/>
        <w:rPr>
          <w:rFonts w:hint="eastAsia" w:cs="Times New Roman"/>
        </w:rPr>
      </w:pPr>
      <w:r>
        <w:rPr>
          <w:rFonts w:hint="eastAsia" w:cs="Times New Roman"/>
        </w:rPr>
        <w:t>公司制定了能源资源、废弃物、危险品、环境应急等方面的管理程序，并明确了各岗位环保职责，确保公司环境政策得到有效执行。</w:t>
      </w:r>
    </w:p>
    <w:p>
      <w:pPr>
        <w:widowControl/>
        <w:ind w:firstLine="480"/>
        <w:jc w:val="left"/>
        <w:rPr>
          <w:rFonts w:hint="eastAsia" w:cs="Times New Roman"/>
        </w:rPr>
      </w:pPr>
      <w:r>
        <w:rPr>
          <w:rFonts w:hint="eastAsia" w:cs="Times New Roman"/>
        </w:rPr>
        <w:t>同时，公司通过办公系统、宣传栏、宣传标语、公司网站、等方式，强化了对环境保护的宣传力度，极大地提高了员工的环保意识。</w:t>
      </w:r>
    </w:p>
    <w:p>
      <w:pPr>
        <w:widowControl/>
        <w:ind w:firstLine="480"/>
        <w:jc w:val="left"/>
        <w:rPr>
          <w:rFonts w:hint="eastAsia" w:cs="Times New Roman"/>
        </w:rPr>
      </w:pPr>
      <w:r>
        <w:rPr>
          <w:rFonts w:hint="eastAsia" w:cs="Times New Roman"/>
          <w:lang w:eastAsia="zh-CN"/>
        </w:rPr>
        <w:t>2024</w:t>
      </w:r>
      <w:r>
        <w:rPr>
          <w:rFonts w:hint="eastAsia" w:cs="Times New Roman"/>
        </w:rPr>
        <w:t>年，公司达成了既定的环境目标，未发生环境污染事件。</w:t>
      </w:r>
    </w:p>
    <w:p>
      <w:pPr>
        <w:widowControl/>
        <w:ind w:firstLine="480"/>
        <w:jc w:val="left"/>
        <w:rPr>
          <w:rFonts w:hint="eastAsia" w:cs="Times New Roman"/>
        </w:rPr>
      </w:pPr>
      <w:r>
        <w:rPr>
          <w:rFonts w:hint="eastAsia" w:cs="Times New Roman"/>
        </w:rPr>
        <w:t>节能降耗是公司的环境管理目标之一，为此我们积极倡导节能低碳理念，积极落实环境管理政策、目标及能源与资源相关管理程序，在公司运营过程中提倡节约资源、能源，减少浪费，提高能源利用率，同时注重能源资源的可循环使用。我们采取的主要节能措施包括更换节能设备，创新生产工艺，提高技术水平，提高员工节能意识等。</w:t>
      </w:r>
    </w:p>
    <w:p>
      <w:pPr>
        <w:ind w:firstLine="241" w:firstLineChars="100"/>
        <w:rPr>
          <w:rFonts w:hint="default" w:eastAsiaTheme="minorEastAsia"/>
          <w:b/>
          <w:lang w:val="en-US" w:eastAsia="zh-CN"/>
        </w:rPr>
      </w:pPr>
      <w:r>
        <w:rPr>
          <w:rFonts w:hint="eastAsia"/>
          <w:b/>
        </w:rPr>
        <w:t xml:space="preserve">2. </w:t>
      </w:r>
      <w:r>
        <w:rPr>
          <w:rFonts w:hint="eastAsia"/>
          <w:b/>
          <w:lang w:val="en-US" w:eastAsia="zh-CN"/>
        </w:rPr>
        <w:t>开展温室气体盘查</w:t>
      </w:r>
    </w:p>
    <w:p>
      <w:pPr>
        <w:ind w:firstLine="480"/>
        <w:rPr>
          <w:rFonts w:cs="Times New Roman"/>
        </w:rPr>
      </w:pPr>
      <w:r>
        <w:rPr>
          <w:rFonts w:hint="eastAsia" w:cs="Times New Roman"/>
        </w:rPr>
        <w:t>做好温室气体管理，减少温室气体排放，是</w:t>
      </w:r>
      <w:r>
        <w:rPr>
          <w:rFonts w:hint="eastAsia" w:cs="Times New Roman"/>
          <w:lang w:val="en-US" w:eastAsia="zh-CN"/>
        </w:rPr>
        <w:t>我公司</w:t>
      </w:r>
      <w:r>
        <w:rPr>
          <w:rFonts w:hint="eastAsia" w:cs="Times New Roman"/>
        </w:rPr>
        <w:t>运营活动的重要部分。一直以来，公司持续监测和改进温室气体管理绩效。</w:t>
      </w:r>
    </w:p>
    <w:p>
      <w:pPr>
        <w:ind w:firstLine="241" w:firstLineChars="100"/>
        <w:rPr>
          <w:rFonts w:hint="default" w:cs="Times New Roman" w:eastAsiaTheme="minorEastAsia"/>
          <w:b/>
          <w:lang w:val="en-US" w:eastAsia="zh-CN"/>
        </w:rPr>
      </w:pPr>
      <w:r>
        <w:rPr>
          <w:rFonts w:cs="Times New Roman"/>
          <w:b/>
        </w:rPr>
        <w:t xml:space="preserve">3. </w:t>
      </w:r>
      <w:r>
        <w:rPr>
          <w:rFonts w:hint="eastAsia" w:cs="Times New Roman"/>
          <w:b/>
          <w:lang w:val="en-US" w:eastAsia="zh-CN"/>
        </w:rPr>
        <w:t>绿色运输</w:t>
      </w:r>
    </w:p>
    <w:p>
      <w:pPr>
        <w:ind w:firstLine="480"/>
        <w:rPr>
          <w:b/>
        </w:rPr>
      </w:pPr>
      <w:r>
        <w:rPr>
          <w:rFonts w:hint="eastAsia" w:cs="Times New Roman"/>
        </w:rPr>
        <w:t>绿色运输不仅可以降低运营成本，更重要的是可以减少能源消耗和降低对环境的污染，是</w:t>
      </w:r>
      <w:r>
        <w:rPr>
          <w:rFonts w:hint="eastAsia" w:cs="Times New Roman"/>
          <w:lang w:val="en-US" w:eastAsia="zh-CN"/>
        </w:rPr>
        <w:t>我公司</w:t>
      </w:r>
      <w:r>
        <w:rPr>
          <w:rFonts w:hint="eastAsia" w:cs="Times New Roman"/>
        </w:rPr>
        <w:t>绿色发展战略的重要一环。公司在生产和运输的过程中，积极减少传统能源车的使用，减少尾气排放，不断优化运输方式，倡导员工绿色出行，货物运输优先采用海运、铁路运输等。</w:t>
      </w:r>
    </w:p>
    <w:p>
      <w:pPr>
        <w:numPr>
          <w:ilvl w:val="0"/>
          <w:numId w:val="2"/>
        </w:numPr>
        <w:ind w:left="240" w:leftChars="0" w:firstLine="0" w:firstLineChars="0"/>
        <w:rPr>
          <w:rFonts w:hint="eastAsia"/>
          <w:b/>
        </w:rPr>
      </w:pPr>
      <w:r>
        <w:rPr>
          <w:rFonts w:hint="eastAsia"/>
          <w:b/>
          <w:lang w:val="en-US" w:eastAsia="zh-CN"/>
        </w:rPr>
        <w:t>推行绿色办公</w:t>
      </w:r>
    </w:p>
    <w:p>
      <w:pPr>
        <w:ind w:firstLine="480"/>
        <w:rPr>
          <w:rFonts w:hint="eastAsia" w:ascii="Times New Roman" w:hAnsi="Times New Roman" w:cs="Times New Roman"/>
        </w:rPr>
      </w:pPr>
      <w:r>
        <w:rPr>
          <w:rFonts w:hint="eastAsia" w:ascii="Times New Roman" w:hAnsi="Times New Roman" w:cs="Times New Roman"/>
        </w:rPr>
        <w:t>公司在所有办公领域推行绿色办公，无纸化办公，减少电、纸张等的消耗与使用，进一步落实节能降耗工作，减少碳排放，为减缓气候变化作出自己的贡献。</w:t>
      </w:r>
    </w:p>
    <w:p>
      <w:pPr>
        <w:ind w:firstLine="480"/>
        <w:rPr>
          <w:rFonts w:hint="eastAsia" w:ascii="Times New Roman" w:hAnsi="Times New Roman" w:cs="Times New Roman"/>
        </w:rPr>
      </w:pPr>
      <w:r>
        <w:rPr>
          <w:rFonts w:hint="eastAsia" w:ascii="Times New Roman" w:hAnsi="Times New Roman" w:cs="Times New Roman"/>
        </w:rPr>
        <w:t>公司采用绿色 IT 措施，建立内部信息网络，使用便捷的办公系统；同时，采购具备节能、安全、低污染、低辐射、有利于分解和回收的产品，推行环保节能理念。</w:t>
      </w:r>
    </w:p>
    <w:p>
      <w:pPr>
        <w:pStyle w:val="2"/>
        <w:spacing w:before="0" w:after="0" w:line="360" w:lineRule="auto"/>
        <w:ind w:firstLine="0" w:firstLineChars="0"/>
        <w:rPr>
          <w:sz w:val="28"/>
          <w:szCs w:val="28"/>
        </w:rPr>
      </w:pPr>
      <w:bookmarkStart w:id="6" w:name="_Toc5218"/>
      <w:r>
        <w:rPr>
          <w:rFonts w:hint="eastAsia"/>
          <w:sz w:val="28"/>
          <w:szCs w:val="28"/>
        </w:rPr>
        <w:t>第六章 企业所获荣誉和参加</w:t>
      </w:r>
      <w:r>
        <w:rPr>
          <w:sz w:val="28"/>
          <w:szCs w:val="28"/>
        </w:rPr>
        <w:t>社会公益事业</w:t>
      </w:r>
      <w:bookmarkEnd w:id="6"/>
    </w:p>
    <w:p>
      <w:pPr>
        <w:ind w:firstLine="0" w:firstLineChars="0"/>
        <w:rPr>
          <w:rFonts w:hint="eastAsia" w:cs="Times New Roman" w:eastAsiaTheme="minorEastAsia"/>
          <w:b/>
          <w:bCs/>
          <w:color w:val="FF0000"/>
          <w:lang w:eastAsia="zh-CN"/>
        </w:rPr>
      </w:pPr>
      <w:r>
        <w:rPr>
          <w:rFonts w:hint="eastAsia" w:cs="Times New Roman"/>
          <w:b/>
          <w:bCs/>
          <w:color w:val="auto"/>
        </w:rPr>
        <w:t>获得荣誉：</w:t>
      </w:r>
      <w:r>
        <w:rPr>
          <w:rFonts w:hint="eastAsia" w:cs="Times New Roman"/>
          <w:b/>
          <w:bCs/>
          <w:color w:val="auto"/>
          <w:lang w:eastAsia="zh-CN"/>
        </w:rPr>
        <w:t>天津市高新技术产业、天津市“专精特新”中小企业；天津市文明单位、科技型中小企业、“放心药厂”、“和谐企业”</w:t>
      </w:r>
    </w:p>
    <w:p>
      <w:pPr>
        <w:spacing w:before="120" w:after="120"/>
        <w:ind w:firstLine="480"/>
        <w:rPr>
          <w:rFonts w:hint="eastAsia" w:eastAsiaTheme="minorEastAsia"/>
          <w:lang w:eastAsia="zh-CN"/>
        </w:rPr>
      </w:pPr>
      <w:r>
        <w:rPr>
          <w:rFonts w:hint="eastAsia"/>
        </w:rPr>
        <w:t>202</w:t>
      </w:r>
      <w:r>
        <w:rPr>
          <w:rFonts w:hint="eastAsia"/>
          <w:lang w:val="en-US" w:eastAsia="zh-CN"/>
        </w:rPr>
        <w:t>5</w:t>
      </w:r>
      <w:r>
        <w:rPr>
          <w:rFonts w:hint="eastAsia"/>
        </w:rPr>
        <w:t>年，我们将继续走绿色发展之路，加大业务拓展力度，同时积极推进节能减排工作，以更积极、负责任的姿态，发展低碳经济，保护环境；坚持合作共赢，与各合作伙伴一起，贡献行业发展；开展关爱行动，多行公益，回报社会，促进社会和谐</w:t>
      </w:r>
      <w:r>
        <w:rPr>
          <w:rFonts w:hint="eastAsia"/>
          <w:lang w:eastAsia="zh-CN"/>
        </w:rPr>
        <w:t>。</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338343"/>
    </w:sdtPr>
    <w:sdtContent>
      <w:p>
        <w:pPr>
          <w:pStyle w:val="8"/>
          <w:ind w:firstLine="360"/>
          <w:jc w:val="center"/>
        </w:pPr>
        <w:r>
          <w:fldChar w:fldCharType="begin"/>
        </w:r>
        <w:r>
          <w:instrText xml:space="preserve">PAGE   \* MERGEFORMAT</w:instrText>
        </w:r>
        <w:r>
          <w:fldChar w:fldCharType="separate"/>
        </w:r>
        <w:r>
          <w:rPr>
            <w:lang w:val="zh-CN"/>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rFonts w:hint="eastAsia"/>
        <w:lang w:eastAsia="zh-CN"/>
      </w:rPr>
      <w:t>2024</w:t>
    </w:r>
    <w:r>
      <w:t>年度</w:t>
    </w:r>
    <w:r>
      <w:rPr>
        <w:rFonts w:hint="eastAsia"/>
        <w:lang w:eastAsia="zh-CN"/>
      </w:rPr>
      <w:t>天津怀仁制药有限公司</w:t>
    </w:r>
    <w:r>
      <w:t>社会责任报告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80067"/>
    <w:multiLevelType w:val="singleLevel"/>
    <w:tmpl w:val="88680067"/>
    <w:lvl w:ilvl="0" w:tentative="0">
      <w:start w:val="4"/>
      <w:numFmt w:val="decimal"/>
      <w:suff w:val="space"/>
      <w:lvlText w:val="%1."/>
      <w:lvlJc w:val="left"/>
      <w:pPr>
        <w:ind w:left="240"/>
      </w:pPr>
    </w:lvl>
  </w:abstractNum>
  <w:abstractNum w:abstractNumId="1">
    <w:nsid w:val="0CB931B2"/>
    <w:multiLevelType w:val="singleLevel"/>
    <w:tmpl w:val="0CB931B2"/>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MWI3NDczYmE1YzJiZDliZjZlZmY4Y2QwNTk5NTEifQ=="/>
  </w:docVars>
  <w:rsids>
    <w:rsidRoot w:val="009D537C"/>
    <w:rsid w:val="000849EA"/>
    <w:rsid w:val="00094A23"/>
    <w:rsid w:val="000A1E26"/>
    <w:rsid w:val="000C0A08"/>
    <w:rsid w:val="000C7954"/>
    <w:rsid w:val="000F6F10"/>
    <w:rsid w:val="00160C4B"/>
    <w:rsid w:val="00166CFC"/>
    <w:rsid w:val="001859A2"/>
    <w:rsid w:val="00187A4F"/>
    <w:rsid w:val="00197DD1"/>
    <w:rsid w:val="001B77D8"/>
    <w:rsid w:val="0024057F"/>
    <w:rsid w:val="002518EC"/>
    <w:rsid w:val="00257149"/>
    <w:rsid w:val="002631EC"/>
    <w:rsid w:val="0026648E"/>
    <w:rsid w:val="002704C2"/>
    <w:rsid w:val="002A298E"/>
    <w:rsid w:val="002A2D15"/>
    <w:rsid w:val="002B0218"/>
    <w:rsid w:val="002D12DB"/>
    <w:rsid w:val="002D2CAA"/>
    <w:rsid w:val="00347336"/>
    <w:rsid w:val="00367406"/>
    <w:rsid w:val="0036762D"/>
    <w:rsid w:val="0038573D"/>
    <w:rsid w:val="003B0516"/>
    <w:rsid w:val="003F3830"/>
    <w:rsid w:val="004166C8"/>
    <w:rsid w:val="00421487"/>
    <w:rsid w:val="004476DA"/>
    <w:rsid w:val="00492D85"/>
    <w:rsid w:val="004A1EBE"/>
    <w:rsid w:val="004A65C5"/>
    <w:rsid w:val="004B6234"/>
    <w:rsid w:val="00505051"/>
    <w:rsid w:val="005076D5"/>
    <w:rsid w:val="005869E4"/>
    <w:rsid w:val="00595306"/>
    <w:rsid w:val="005B722B"/>
    <w:rsid w:val="005C52A5"/>
    <w:rsid w:val="005D2645"/>
    <w:rsid w:val="0061412D"/>
    <w:rsid w:val="0062094D"/>
    <w:rsid w:val="00652084"/>
    <w:rsid w:val="0065581C"/>
    <w:rsid w:val="006661C7"/>
    <w:rsid w:val="006B12B9"/>
    <w:rsid w:val="006C03B3"/>
    <w:rsid w:val="006F6104"/>
    <w:rsid w:val="00701B7C"/>
    <w:rsid w:val="0074252E"/>
    <w:rsid w:val="0074420A"/>
    <w:rsid w:val="0075041F"/>
    <w:rsid w:val="0077549F"/>
    <w:rsid w:val="00792EA4"/>
    <w:rsid w:val="007B6C68"/>
    <w:rsid w:val="007D27CC"/>
    <w:rsid w:val="00852F13"/>
    <w:rsid w:val="00866A2C"/>
    <w:rsid w:val="00870D9E"/>
    <w:rsid w:val="00880577"/>
    <w:rsid w:val="00885666"/>
    <w:rsid w:val="008A7CD2"/>
    <w:rsid w:val="008A7FC1"/>
    <w:rsid w:val="008C2980"/>
    <w:rsid w:val="008E4FBD"/>
    <w:rsid w:val="008F2C4A"/>
    <w:rsid w:val="00920557"/>
    <w:rsid w:val="0096076C"/>
    <w:rsid w:val="009611D4"/>
    <w:rsid w:val="009849E9"/>
    <w:rsid w:val="009A037F"/>
    <w:rsid w:val="009A2F0B"/>
    <w:rsid w:val="009D537C"/>
    <w:rsid w:val="00A03F45"/>
    <w:rsid w:val="00A22890"/>
    <w:rsid w:val="00A32B4E"/>
    <w:rsid w:val="00A614EA"/>
    <w:rsid w:val="00A71F04"/>
    <w:rsid w:val="00A739F3"/>
    <w:rsid w:val="00A80320"/>
    <w:rsid w:val="00A937F5"/>
    <w:rsid w:val="00AC2E42"/>
    <w:rsid w:val="00AD0867"/>
    <w:rsid w:val="00AD6C45"/>
    <w:rsid w:val="00B13165"/>
    <w:rsid w:val="00B16893"/>
    <w:rsid w:val="00B3577F"/>
    <w:rsid w:val="00B51890"/>
    <w:rsid w:val="00B65F1F"/>
    <w:rsid w:val="00B77A01"/>
    <w:rsid w:val="00BA6AAD"/>
    <w:rsid w:val="00BC4C64"/>
    <w:rsid w:val="00C05F8C"/>
    <w:rsid w:val="00C07A63"/>
    <w:rsid w:val="00C11E88"/>
    <w:rsid w:val="00C520B9"/>
    <w:rsid w:val="00C674F3"/>
    <w:rsid w:val="00C977E6"/>
    <w:rsid w:val="00CD1211"/>
    <w:rsid w:val="00CD7F70"/>
    <w:rsid w:val="00CE479E"/>
    <w:rsid w:val="00CF4C54"/>
    <w:rsid w:val="00CF5D80"/>
    <w:rsid w:val="00CF7132"/>
    <w:rsid w:val="00D0265B"/>
    <w:rsid w:val="00D32652"/>
    <w:rsid w:val="00D50A12"/>
    <w:rsid w:val="00D52162"/>
    <w:rsid w:val="00D62B93"/>
    <w:rsid w:val="00D8673A"/>
    <w:rsid w:val="00D87586"/>
    <w:rsid w:val="00D93767"/>
    <w:rsid w:val="00DA413A"/>
    <w:rsid w:val="00E14779"/>
    <w:rsid w:val="00E213AA"/>
    <w:rsid w:val="00E75377"/>
    <w:rsid w:val="00E97619"/>
    <w:rsid w:val="00EB7C67"/>
    <w:rsid w:val="00EC11C8"/>
    <w:rsid w:val="00ED0FDB"/>
    <w:rsid w:val="00F11694"/>
    <w:rsid w:val="00F26EDA"/>
    <w:rsid w:val="00F37891"/>
    <w:rsid w:val="00F40DB2"/>
    <w:rsid w:val="00F73B81"/>
    <w:rsid w:val="00F806F9"/>
    <w:rsid w:val="00F85CA8"/>
    <w:rsid w:val="00FF1BEE"/>
    <w:rsid w:val="00FF59FC"/>
    <w:rsid w:val="043F43B7"/>
    <w:rsid w:val="04467E43"/>
    <w:rsid w:val="074F7DBC"/>
    <w:rsid w:val="0A913913"/>
    <w:rsid w:val="0ABB12FB"/>
    <w:rsid w:val="0DC82AAD"/>
    <w:rsid w:val="0EA66C29"/>
    <w:rsid w:val="10D045FE"/>
    <w:rsid w:val="15A90083"/>
    <w:rsid w:val="15D07AA2"/>
    <w:rsid w:val="17362622"/>
    <w:rsid w:val="1A0E3B8B"/>
    <w:rsid w:val="1C3F5589"/>
    <w:rsid w:val="1D0C5382"/>
    <w:rsid w:val="1FA479BA"/>
    <w:rsid w:val="21DC1945"/>
    <w:rsid w:val="2271481B"/>
    <w:rsid w:val="227578BC"/>
    <w:rsid w:val="22844C34"/>
    <w:rsid w:val="2420726B"/>
    <w:rsid w:val="247F7675"/>
    <w:rsid w:val="266D2788"/>
    <w:rsid w:val="270759CF"/>
    <w:rsid w:val="2D165B69"/>
    <w:rsid w:val="309353F7"/>
    <w:rsid w:val="345E3250"/>
    <w:rsid w:val="34E25F6D"/>
    <w:rsid w:val="352F7660"/>
    <w:rsid w:val="37AC69AB"/>
    <w:rsid w:val="39A83B76"/>
    <w:rsid w:val="3B530708"/>
    <w:rsid w:val="3E3735BE"/>
    <w:rsid w:val="3EDD2472"/>
    <w:rsid w:val="40C362C8"/>
    <w:rsid w:val="4149789C"/>
    <w:rsid w:val="4434467A"/>
    <w:rsid w:val="445A1EF5"/>
    <w:rsid w:val="44BB25D2"/>
    <w:rsid w:val="450D0E01"/>
    <w:rsid w:val="45273DCA"/>
    <w:rsid w:val="47FD08B5"/>
    <w:rsid w:val="48906230"/>
    <w:rsid w:val="4A471071"/>
    <w:rsid w:val="4E4768D7"/>
    <w:rsid w:val="4F367C73"/>
    <w:rsid w:val="50942D22"/>
    <w:rsid w:val="51C2502E"/>
    <w:rsid w:val="52565461"/>
    <w:rsid w:val="54542C0C"/>
    <w:rsid w:val="54BD5B57"/>
    <w:rsid w:val="5BBF11E7"/>
    <w:rsid w:val="5F902FBC"/>
    <w:rsid w:val="60795533"/>
    <w:rsid w:val="616C349C"/>
    <w:rsid w:val="62A24152"/>
    <w:rsid w:val="63CF0DDD"/>
    <w:rsid w:val="644F022D"/>
    <w:rsid w:val="697873C5"/>
    <w:rsid w:val="6A1A615E"/>
    <w:rsid w:val="6C743B6B"/>
    <w:rsid w:val="770A6AF1"/>
    <w:rsid w:val="79B94E39"/>
    <w:rsid w:val="7B904DE3"/>
    <w:rsid w:val="7C1C4B56"/>
    <w:rsid w:val="7C782710"/>
    <w:rsid w:val="7F807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9"/>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99"/>
    <w:pPr>
      <w:tabs>
        <w:tab w:val="center" w:pos="10467"/>
        <w:tab w:val="left" w:pos="13095"/>
      </w:tabs>
      <w:ind w:firstLine="0" w:firstLineChars="0"/>
      <w:jc w:val="center"/>
    </w:pPr>
    <w:rPr>
      <w:rFonts w:ascii="Arial" w:hAnsi="Arial" w:eastAsia="宋体" w:cs="黑体"/>
    </w:rPr>
  </w:style>
  <w:style w:type="paragraph" w:styleId="6">
    <w:name w:val="annotation text"/>
    <w:basedOn w:val="1"/>
    <w:link w:val="24"/>
    <w:semiHidden/>
    <w:unhideWhenUsed/>
    <w:qFormat/>
    <w:uiPriority w:val="99"/>
    <w:pPr>
      <w:jc w:val="left"/>
    </w:pPr>
  </w:style>
  <w:style w:type="paragraph" w:styleId="7">
    <w:name w:val="Balloon Text"/>
    <w:basedOn w:val="1"/>
    <w:link w:val="26"/>
    <w:semiHidden/>
    <w:unhideWhenUsed/>
    <w:qFormat/>
    <w:uiPriority w:val="99"/>
    <w:pPr>
      <w:spacing w:line="240" w:lineRule="auto"/>
    </w:pPr>
    <w:rPr>
      <w:sz w:val="18"/>
      <w:szCs w:val="18"/>
    </w:rPr>
  </w:style>
  <w:style w:type="paragraph" w:styleId="8">
    <w:name w:val="footer"/>
    <w:basedOn w:val="1"/>
    <w:link w:val="23"/>
    <w:unhideWhenUsed/>
    <w:qFormat/>
    <w:uiPriority w:val="99"/>
    <w:pPr>
      <w:tabs>
        <w:tab w:val="center" w:pos="4153"/>
        <w:tab w:val="right" w:pos="8306"/>
      </w:tabs>
      <w:snapToGrid w:val="0"/>
      <w:spacing w:line="240" w:lineRule="auto"/>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unhideWhenUsed/>
    <w:qFormat/>
    <w:uiPriority w:val="39"/>
  </w:style>
  <w:style w:type="paragraph" w:styleId="11">
    <w:name w:val="annotation subject"/>
    <w:basedOn w:val="6"/>
    <w:next w:val="6"/>
    <w:link w:val="25"/>
    <w:semiHidden/>
    <w:unhideWhenUsed/>
    <w:qFormat/>
    <w:uiPriority w:val="99"/>
    <w:rPr>
      <w:b/>
      <w:bCs/>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character" w:customStyle="1" w:styleId="16">
    <w:name w:val="Heading 1 Char"/>
    <w:basedOn w:val="13"/>
    <w:link w:val="2"/>
    <w:qFormat/>
    <w:uiPriority w:val="9"/>
    <w:rPr>
      <w:b/>
      <w:bCs/>
      <w:kern w:val="44"/>
      <w:sz w:val="44"/>
      <w:szCs w:val="44"/>
    </w:rPr>
  </w:style>
  <w:style w:type="paragraph" w:styleId="17">
    <w:name w:val="No Spacing"/>
    <w:link w:val="18"/>
    <w:qFormat/>
    <w:uiPriority w:val="1"/>
    <w:rPr>
      <w:rFonts w:asciiTheme="minorHAnsi" w:hAnsiTheme="minorHAnsi" w:eastAsiaTheme="minorEastAsia" w:cstheme="minorBidi"/>
      <w:sz w:val="22"/>
      <w:szCs w:val="22"/>
      <w:lang w:val="en-US" w:eastAsia="zh-CN" w:bidi="ar-SA"/>
    </w:rPr>
  </w:style>
  <w:style w:type="character" w:customStyle="1" w:styleId="18">
    <w:name w:val="No Spacing Char"/>
    <w:basedOn w:val="13"/>
    <w:link w:val="17"/>
    <w:qFormat/>
    <w:uiPriority w:val="1"/>
    <w:rPr>
      <w:kern w:val="0"/>
      <w:sz w:val="22"/>
    </w:rPr>
  </w:style>
  <w:style w:type="character" w:customStyle="1" w:styleId="19">
    <w:name w:val="Heading 3 Char"/>
    <w:basedOn w:val="13"/>
    <w:link w:val="3"/>
    <w:semiHidden/>
    <w:qFormat/>
    <w:uiPriority w:val="9"/>
    <w:rPr>
      <w:rFonts w:ascii="Times New Roman" w:hAnsi="Times New Roman"/>
      <w:b/>
      <w:bCs/>
      <w:sz w:val="32"/>
      <w:szCs w:val="32"/>
    </w:rPr>
  </w:style>
  <w:style w:type="character" w:customStyle="1" w:styleId="20">
    <w:name w:val="Heading 4 Char"/>
    <w:basedOn w:val="13"/>
    <w:link w:val="4"/>
    <w:semiHidden/>
    <w:qFormat/>
    <w:uiPriority w:val="9"/>
    <w:rPr>
      <w:rFonts w:asciiTheme="majorHAnsi" w:hAnsiTheme="majorHAnsi" w:eastAsiaTheme="majorEastAsia" w:cstheme="majorBidi"/>
      <w:b/>
      <w:bCs/>
      <w:sz w:val="28"/>
      <w:szCs w:val="28"/>
    </w:rPr>
  </w:style>
  <w:style w:type="paragraph" w:customStyle="1" w:styleId="21">
    <w:name w:val="TOC Heading1"/>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2">
    <w:name w:val="Header Char"/>
    <w:basedOn w:val="13"/>
    <w:link w:val="9"/>
    <w:qFormat/>
    <w:uiPriority w:val="99"/>
    <w:rPr>
      <w:rFonts w:ascii="Times New Roman" w:hAnsi="Times New Roman"/>
      <w:sz w:val="18"/>
      <w:szCs w:val="18"/>
    </w:rPr>
  </w:style>
  <w:style w:type="character" w:customStyle="1" w:styleId="23">
    <w:name w:val="Footer Char"/>
    <w:basedOn w:val="13"/>
    <w:link w:val="8"/>
    <w:qFormat/>
    <w:uiPriority w:val="99"/>
    <w:rPr>
      <w:rFonts w:ascii="Times New Roman" w:hAnsi="Times New Roman"/>
      <w:sz w:val="18"/>
      <w:szCs w:val="18"/>
    </w:rPr>
  </w:style>
  <w:style w:type="character" w:customStyle="1" w:styleId="24">
    <w:name w:val="Comment Text Char"/>
    <w:basedOn w:val="13"/>
    <w:link w:val="6"/>
    <w:semiHidden/>
    <w:qFormat/>
    <w:uiPriority w:val="99"/>
    <w:rPr>
      <w:rFonts w:ascii="Times New Roman" w:hAnsi="Times New Roman"/>
      <w:sz w:val="24"/>
    </w:rPr>
  </w:style>
  <w:style w:type="character" w:customStyle="1" w:styleId="25">
    <w:name w:val="Comment Subject Char"/>
    <w:basedOn w:val="24"/>
    <w:link w:val="11"/>
    <w:semiHidden/>
    <w:qFormat/>
    <w:uiPriority w:val="99"/>
    <w:rPr>
      <w:rFonts w:ascii="Times New Roman" w:hAnsi="Times New Roman"/>
      <w:b/>
      <w:bCs/>
      <w:sz w:val="24"/>
    </w:rPr>
  </w:style>
  <w:style w:type="character" w:customStyle="1" w:styleId="26">
    <w:name w:val="Balloon Text Char"/>
    <w:basedOn w:val="13"/>
    <w:link w:val="7"/>
    <w:semiHidden/>
    <w:qFormat/>
    <w:uiPriority w:val="99"/>
    <w:rPr>
      <w:rFonts w:ascii="Times New Roman" w:hAnsi="Times New Roman"/>
      <w:sz w:val="18"/>
      <w:szCs w:val="18"/>
    </w:rPr>
  </w:style>
  <w:style w:type="paragraph" w:customStyle="1" w:styleId="27">
    <w:name w:val="列出段落2"/>
    <w:basedOn w:val="1"/>
    <w:qFormat/>
    <w:uiPriority w:val="99"/>
    <w:pPr>
      <w:ind w:firstLine="420"/>
    </w:pPr>
    <w:rPr>
      <w:rFonts w:ascii="Calibri" w:hAnsi="Calibri" w:eastAsia="仿宋" w:cs="黑体"/>
    </w:rPr>
  </w:style>
  <w:style w:type="paragraph" w:customStyle="1" w:styleId="28">
    <w:name w:val="审核报告正文小四"/>
    <w:basedOn w:val="1"/>
    <w:link w:val="29"/>
    <w:qFormat/>
    <w:uiPriority w:val="0"/>
    <w:pPr>
      <w:spacing w:before="50" w:beforeLines="50" w:after="50" w:afterLines="50" w:line="440" w:lineRule="exact"/>
    </w:pPr>
    <w:rPr>
      <w:rFonts w:eastAsia="宋体" w:cs="Times New Roman"/>
      <w:szCs w:val="24"/>
    </w:rPr>
  </w:style>
  <w:style w:type="character" w:customStyle="1" w:styleId="29">
    <w:name w:val="审核报告正文小四 Char"/>
    <w:link w:val="28"/>
    <w:qFormat/>
    <w:uiPriority w:val="0"/>
    <w:rPr>
      <w:rFonts w:ascii="Times New Roman" w:hAnsi="Times New Roman" w:eastAsia="宋体" w:cs="Times New Roman"/>
      <w:sz w:val="24"/>
      <w:szCs w:val="24"/>
    </w:rPr>
  </w:style>
  <w:style w:type="paragraph" w:styleId="30">
    <w:name w:val="List Paragraph"/>
    <w:basedOn w:val="1"/>
    <w:qFormat/>
    <w:uiPriority w:val="34"/>
    <w:pPr>
      <w:widowControl/>
      <w:spacing w:line="240" w:lineRule="auto"/>
      <w:ind w:firstLine="420"/>
      <w:jc w:val="left"/>
    </w:pPr>
    <w:rPr>
      <w:rFonts w:ascii="宋体" w:hAnsi="宋体" w:eastAsia="宋体" w:cs="宋体"/>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5039</Words>
  <Characters>5210</Characters>
  <Lines>47</Lines>
  <Paragraphs>13</Paragraphs>
  <TotalTime>1</TotalTime>
  <ScaleCrop>false</ScaleCrop>
  <LinksUpToDate>false</LinksUpToDate>
  <CharactersWithSpaces>5271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2018-08-20T05:59:00Z</dcterms:created>
  <dc:creator>广东省深圳市</dc:creator>
  <cp:lastModifiedBy>DELL</cp:lastModifiedBy>
  <cp:lastPrinted>2023-10-24T03:09:00Z</cp:lastPrinted>
  <dcterms:modified xsi:type="dcterms:W3CDTF">2025-01-10T01:57:06Z</dcterms:modified>
  <dc:subject>*****公司社会责任报告</dc:subject>
  <dc:title>2019年度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3C318407C7064F61836A5BB38D130EDC_13</vt:lpwstr>
  </property>
  <property fmtid="{D5CDD505-2E9C-101B-9397-08002B2CF9AE}" pid="4" name="KSOTemplateDocerSaveRecord">
    <vt:lpwstr>eyJoZGlkIjoiZDZmOGEyOTc2ZjVkOWU1N2EwMmZlNDk1YmZiN2I0ZGIiLCJ1c2VySWQiOiIzOTI0MzM5NzAifQ==</vt:lpwstr>
  </property>
</Properties>
</file>